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Spacing"/>
        <w:rPr>
          <w:rFonts w:ascii="Arial" w:hAnsi="Arial"/>
          <w:color w:val="000000"/>
        </w:rPr>
      </w:pPr>
      <w:r>
        <w:rPr>
          <w:rFonts w:ascii="Arial" w:hAnsi="Arial"/>
          <w:color w:val="000000"/>
        </w:rPr>
      </w:r>
    </w:p>
    <w:p>
      <w:pPr>
        <w:pStyle w:val="TableContents"/>
        <w:spacing w:before="120" w:after="0"/>
        <w:jc w:val="right"/>
        <w:rPr>
          <w:rFonts w:ascii="Arial" w:hAnsi="Arial"/>
          <w:color w:val="000000"/>
        </w:rPr>
      </w:pPr>
      <w:r>
        <w:rPr>
          <w:rFonts w:ascii="Arial" w:hAnsi="Arial"/>
          <w:color w:val="000000"/>
        </w:rPr>
      </w:r>
    </w:p>
    <w:p>
      <w:pPr>
        <w:pStyle w:val="Title"/>
        <w:rPr>
          <w:rFonts w:ascii="Arial" w:hAnsi="Arial"/>
          <w:color w:val="000000"/>
          <w:sz w:val="48"/>
          <w:szCs w:val="48"/>
        </w:rPr>
      </w:pPr>
      <w:r>
        <w:rPr>
          <w:rFonts w:ascii="Arial" w:hAnsi="Arial"/>
          <w:color w:val="000000"/>
          <w:sz w:val="48"/>
          <w:szCs w:val="48"/>
        </w:rPr>
        <w:t>British Cave Research Association (BCRA)</w:t>
      </w:r>
    </w:p>
    <w:p>
      <w:pPr>
        <w:pStyle w:val="Title"/>
        <w:rPr>
          <w:rFonts w:ascii="Arial" w:hAnsi="Arial"/>
          <w:color w:val="000000"/>
          <w:sz w:val="44"/>
          <w:szCs w:val="44"/>
        </w:rPr>
      </w:pPr>
      <w:r>
        <w:rPr>
          <w:rFonts w:ascii="Arial" w:hAnsi="Arial"/>
          <w:color w:val="000000"/>
          <w:sz w:val="44"/>
          <w:szCs w:val="44"/>
        </w:rPr>
        <w:t>Reimbursement of Expenses &amp; Purchases:</w:t>
        <w:br/>
        <w:t>Policies &amp; Procedures</w:t>
      </w:r>
    </w:p>
    <w:p>
      <w:pPr>
        <w:pStyle w:val="Heading1"/>
        <w:rPr>
          <w:rFonts w:ascii="Arial" w:hAnsi="Arial"/>
          <w:color w:val="000000"/>
        </w:rPr>
      </w:pPr>
      <w:r>
        <w:rPr>
          <w:rFonts w:ascii="Arial" w:hAnsi="Arial"/>
          <w:color w:val="000000"/>
        </w:rPr>
        <w:t>Background</w:t>
      </w:r>
    </w:p>
    <w:p>
      <w:pPr>
        <w:pStyle w:val="Heading2"/>
        <w:rPr>
          <w:rFonts w:ascii="Arial" w:hAnsi="Arial"/>
          <w:color w:val="000000"/>
        </w:rPr>
      </w:pPr>
      <w:r>
        <w:rPr>
          <w:rFonts w:ascii="Arial" w:hAnsi="Arial"/>
          <w:color w:val="000000"/>
        </w:rPr>
        <w:t>1.</w:t>
      </w:r>
      <w:r>
        <w:rPr>
          <w:rFonts w:ascii="Arial" w:hAnsi="Arial"/>
          <w:color w:val="000000"/>
        </w:rPr>
        <w:t>Applicability</w:t>
      </w:r>
    </w:p>
    <w:p>
      <w:pPr>
        <w:pStyle w:val="Normal"/>
        <w:rPr>
          <w:rFonts w:ascii="Arial" w:hAnsi="Arial"/>
          <w:color w:val="000000"/>
        </w:rPr>
      </w:pPr>
      <w:r>
        <w:rPr>
          <w:rFonts w:ascii="Arial" w:hAnsi="Arial"/>
          <w:color w:val="000000"/>
        </w:rPr>
        <w:t>All Trustees, Members, Staff, Associates and Volunteers are entitled to be reimbursed for out-of-pocket expenses which they legitimately incur while promoting and supporting the delivery of the charity’s objects.</w:t>
      </w:r>
    </w:p>
    <w:p>
      <w:pPr>
        <w:pStyle w:val="Normal"/>
        <w:rPr>
          <w:rFonts w:ascii="Arial" w:hAnsi="Arial"/>
          <w:color w:val="000000"/>
        </w:rPr>
      </w:pPr>
      <w:r>
        <w:rPr>
          <w:rFonts w:ascii="Arial" w:hAnsi="Arial"/>
          <w:color w:val="000000"/>
        </w:rPr>
        <w:t xml:space="preserve">These Policies &amp; Procedures apply to all persons involved with </w:t>
      </w:r>
      <w:r>
        <w:rPr>
          <w:rFonts w:ascii="Arial" w:hAnsi="Arial"/>
          <w:color w:val="000000"/>
        </w:rPr>
        <w:t>the BCRA</w:t>
      </w:r>
      <w:r>
        <w:rPr>
          <w:rFonts w:ascii="Arial" w:hAnsi="Arial"/>
          <w:color w:val="000000"/>
        </w:rPr>
        <w:t>, though employees are also subject to taxation law in relation to such payments.</w:t>
      </w:r>
    </w:p>
    <w:p>
      <w:pPr>
        <w:pStyle w:val="Normal"/>
        <w:rPr/>
      </w:pPr>
      <w:r>
        <w:rPr>
          <w:rFonts w:ascii="Arial" w:hAnsi="Arial"/>
          <w:color w:val="000000"/>
        </w:rPr>
        <w:t xml:space="preserve">These Policies &amp; Procedures are based on the Charity Commission’s guidance on reimbursing out-of-pocket expenses incurred by Trustees as in its publication </w:t>
      </w:r>
      <w:r>
        <w:rPr>
          <w:rFonts w:ascii="Arial" w:hAnsi="Arial"/>
          <w:b/>
          <w:i/>
          <w:color w:val="000000"/>
        </w:rPr>
        <w:t>“Trustee Expenses and Payments” (CC11)</w:t>
        <w:br/>
      </w:r>
      <w:r>
        <w:rPr>
          <w:rFonts w:ascii="Arial" w:hAnsi="Arial"/>
          <w:i/>
          <w:color w:val="000000"/>
          <w:sz w:val="20"/>
          <w:szCs w:val="20"/>
        </w:rPr>
        <w:t xml:space="preserve">   </w:t>
      </w:r>
      <w:hyperlink r:id="rId2">
        <w:r>
          <w:rPr>
            <w:rStyle w:val="InternetLink"/>
            <w:rFonts w:ascii="Arial" w:hAnsi="Arial"/>
            <w:i/>
            <w:color w:val="000000"/>
            <w:sz w:val="20"/>
            <w:szCs w:val="20"/>
          </w:rPr>
          <w:t>www.gov.uk/government/publications/trustee-expenses-and-payments-cc11/trustee-expenses-and-payments</w:t>
        </w:r>
      </w:hyperlink>
      <w:r>
        <w:rPr>
          <w:rFonts w:ascii="Arial" w:hAnsi="Arial"/>
          <w:i/>
          <w:color w:val="000000"/>
          <w:sz w:val="20"/>
          <w:szCs w:val="20"/>
        </w:rPr>
        <w:br/>
      </w:r>
      <w:r>
        <w:rPr>
          <w:rFonts w:ascii="Arial" w:hAnsi="Arial"/>
          <w:color w:val="000000"/>
        </w:rPr>
        <w:t>Some sections of this policy have been taken verbatim from that publication</w:t>
      </w:r>
      <w:r>
        <w:rPr>
          <w:rFonts w:ascii="Arial" w:hAnsi="Arial"/>
          <w:i/>
          <w:color w:val="000000"/>
          <w:sz w:val="20"/>
          <w:szCs w:val="20"/>
        </w:rPr>
        <w:t>.</w:t>
        <w:br/>
        <w:t>(Crown copyright acknowledged)</w:t>
      </w:r>
      <w:r>
        <w:rPr>
          <w:rFonts w:ascii="Arial" w:hAnsi="Arial"/>
          <w:color w:val="000000"/>
        </w:rPr>
        <w:t>.</w:t>
      </w:r>
    </w:p>
    <w:p>
      <w:pPr>
        <w:pStyle w:val="Heading2"/>
        <w:rPr>
          <w:rFonts w:ascii="Arial" w:hAnsi="Arial"/>
          <w:color w:val="000000"/>
        </w:rPr>
      </w:pPr>
      <w:r>
        <w:rPr>
          <w:rFonts w:ascii="Arial" w:hAnsi="Arial"/>
          <w:color w:val="000000"/>
        </w:rPr>
        <w:t>1.2</w:t>
      </w:r>
      <w:r>
        <w:rPr>
          <w:rFonts w:ascii="Arial" w:hAnsi="Arial"/>
          <w:color w:val="000000"/>
        </w:rPr>
        <w:t>Expenses vs Remuneration</w:t>
      </w:r>
    </w:p>
    <w:p>
      <w:pPr>
        <w:pStyle w:val="Normal"/>
        <w:rPr>
          <w:rFonts w:ascii="Arial" w:hAnsi="Arial"/>
          <w:color w:val="000000"/>
        </w:rPr>
      </w:pPr>
      <w:r>
        <w:rPr>
          <w:rFonts w:ascii="Arial" w:hAnsi="Arial"/>
          <w:color w:val="000000"/>
        </w:rPr>
        <w:t>In all cases, it is important to ensure that the reimbursement of out-of-pocket expenses is not – OR DOES NOT APPEAR TO BE – a disguise for making income payments (remuneration) to the recipient(s).</w:t>
      </w:r>
    </w:p>
    <w:p>
      <w:pPr>
        <w:pStyle w:val="Heading2"/>
        <w:rPr>
          <w:rFonts w:ascii="Arial" w:hAnsi="Arial"/>
          <w:color w:val="000000"/>
        </w:rPr>
      </w:pPr>
      <w:r>
        <w:rPr>
          <w:rFonts w:ascii="Arial" w:hAnsi="Arial"/>
          <w:color w:val="000000"/>
        </w:rPr>
        <w:t>1.3</w:t>
      </w:r>
      <w:r>
        <w:rPr>
          <w:rFonts w:ascii="Arial" w:hAnsi="Arial"/>
          <w:color w:val="000000"/>
        </w:rPr>
        <w:t>Expenses vs Purchases</w:t>
      </w:r>
    </w:p>
    <w:p>
      <w:pPr>
        <w:pStyle w:val="Normal"/>
        <w:rPr>
          <w:rFonts w:ascii="Arial" w:hAnsi="Arial"/>
          <w:color w:val="000000"/>
        </w:rPr>
      </w:pPr>
      <w:r>
        <w:rPr>
          <w:rFonts w:ascii="Arial" w:hAnsi="Arial"/>
          <w:color w:val="000000"/>
        </w:rPr>
        <w:t>Note that although claims for the reimbursement of purchases which have personally and properly made on behalf of the charity are usually made together with claims for the reimbursement of out-of-pocket expenses, they are not counted as expenses.</w:t>
        <w:br/>
        <w:t>Instead they are accounted for as part of the charity’s general expenditure in the usual way.</w:t>
      </w:r>
    </w:p>
    <w:p>
      <w:pPr>
        <w:pStyle w:val="Heading2"/>
        <w:rPr>
          <w:rFonts w:ascii="Arial" w:hAnsi="Arial"/>
          <w:color w:val="000000"/>
        </w:rPr>
      </w:pPr>
      <w:r>
        <w:rPr>
          <w:rFonts w:ascii="Arial" w:hAnsi="Arial"/>
          <w:color w:val="000000"/>
        </w:rPr>
        <w:t>1.4</w:t>
      </w:r>
      <w:r>
        <w:rPr>
          <w:rFonts w:ascii="Arial" w:hAnsi="Arial"/>
          <w:color w:val="000000"/>
        </w:rPr>
        <w:t>Waiving Expenses (Donating Expenses as “Gifts-in-Kind”)</w:t>
      </w:r>
    </w:p>
    <w:p>
      <w:pPr>
        <w:pStyle w:val="Normal"/>
        <w:rPr>
          <w:rFonts w:ascii="Arial" w:hAnsi="Arial"/>
          <w:color w:val="000000"/>
        </w:rPr>
      </w:pPr>
      <w:r>
        <w:rPr>
          <w:rFonts w:ascii="Arial" w:hAnsi="Arial"/>
          <w:color w:val="000000"/>
        </w:rPr>
        <w:t>Supporters who generously waive their expense or purchases as “donations” to the Charity inadvertently create some difficulties.   If reimbursement of expenses/purchases is not claimed they cannot be entered into the Charity’s accounts to show both the true costs of running the Charity and the generosity of its supporters.   This can hamper funding applications.</w:t>
        <w:br/>
        <w:t>Furthermore, even if the amount of the waived expenses/purchases is notified to the Charity and entered into the accounts, the Charity is not able to claim any Gift Aid that might otherwise have been available on the donation because Gifts-in-Kind are specifically excluded from Gift Aid under HMRC rules.</w:t>
        <w:br/>
        <w:t xml:space="preserve">Supporters who are thinking of waiving their expenses/purchase claims should therefore first read the section on </w:t>
      </w:r>
      <w:r>
        <w:rPr>
          <w:rFonts w:cs="Tahoma" w:ascii="Arial" w:hAnsi="Arial"/>
          <w:b/>
          <w:bCs/>
          <w:i/>
          <w:iCs/>
          <w:color w:val="000000"/>
        </w:rPr>
        <w:t>Deferred Reimbursement of Expenses &amp; Purchases</w:t>
      </w:r>
      <w:r>
        <w:rPr>
          <w:rFonts w:ascii="Arial" w:hAnsi="Arial"/>
          <w:color w:val="000000"/>
        </w:rPr>
        <w:t>.</w:t>
      </w:r>
    </w:p>
    <w:p>
      <w:pPr>
        <w:pStyle w:val="Heading2"/>
        <w:rPr>
          <w:rFonts w:ascii="Arial" w:hAnsi="Arial"/>
          <w:color w:val="000000"/>
        </w:rPr>
      </w:pPr>
      <w:r>
        <w:rPr>
          <w:rFonts w:ascii="Arial" w:hAnsi="Arial"/>
          <w:color w:val="000000"/>
        </w:rPr>
        <w:t>2.</w:t>
      </w:r>
      <w:r>
        <w:rPr>
          <w:rFonts w:ascii="Arial" w:hAnsi="Arial"/>
          <w:color w:val="000000"/>
        </w:rPr>
        <w:t>Changes to the Policy</w:t>
      </w:r>
    </w:p>
    <w:p>
      <w:pPr>
        <w:pStyle w:val="Normal"/>
        <w:rPr>
          <w:rFonts w:ascii="Arial" w:hAnsi="Arial"/>
          <w:color w:val="000000"/>
        </w:rPr>
      </w:pPr>
      <w:r>
        <w:rPr>
          <w:rFonts w:ascii="Arial" w:hAnsi="Arial"/>
          <w:color w:val="000000"/>
        </w:rPr>
        <w:t>The Charity reserves the right to change its Expenses Policies &amp; Procedures to maintain consistency with current accepted Best Practice, and otherwise to meet the needs of the Charity.</w:t>
      </w:r>
    </w:p>
    <w:p>
      <w:pPr>
        <w:pStyle w:val="Normal"/>
        <w:rPr>
          <w:rFonts w:ascii="Arial" w:hAnsi="Arial"/>
          <w:color w:val="000000"/>
        </w:rPr>
      </w:pPr>
      <w:r>
        <w:rPr>
          <w:rFonts w:ascii="Arial" w:hAnsi="Arial"/>
          <w:color w:val="000000"/>
        </w:rPr>
        <w:t>Whenever possible the Charity will give appropriate advance notice of any such changes.</w:t>
        <w:tab/>
        <w:br/>
        <w:t>However the Charity reserves the right to change these Expenses Policies &amp; Procedures with minimal or no notice when reasonably expedient to do so.</w:t>
      </w:r>
    </w:p>
    <w:p>
      <w:pPr>
        <w:pStyle w:val="Heading1"/>
        <w:rPr>
          <w:rFonts w:ascii="Arial" w:hAnsi="Arial"/>
          <w:color w:val="000000"/>
        </w:rPr>
      </w:pPr>
      <w:r>
        <w:rPr>
          <w:rFonts w:ascii="Arial" w:hAnsi="Arial"/>
          <w:color w:val="000000"/>
        </w:rPr>
        <w:t>3.</w:t>
      </w:r>
      <w:r>
        <w:rPr>
          <w:rFonts w:ascii="Arial" w:hAnsi="Arial"/>
          <w:color w:val="000000"/>
        </w:rPr>
        <w:t>Policy</w:t>
      </w:r>
    </w:p>
    <w:p>
      <w:pPr>
        <w:pStyle w:val="Heading2"/>
        <w:rPr>
          <w:rFonts w:ascii="Arial" w:hAnsi="Arial"/>
          <w:color w:val="000000"/>
        </w:rPr>
      </w:pPr>
      <w:r>
        <w:rPr>
          <w:rFonts w:ascii="Arial" w:hAnsi="Arial"/>
          <w:color w:val="000000"/>
        </w:rPr>
        <w:t>3.1</w:t>
      </w:r>
      <w:r>
        <w:rPr>
          <w:rFonts w:ascii="Arial" w:hAnsi="Arial"/>
          <w:color w:val="000000"/>
        </w:rPr>
        <w:t>Scope</w:t>
      </w:r>
    </w:p>
    <w:p>
      <w:pPr>
        <w:pStyle w:val="Normal"/>
        <w:rPr>
          <w:rFonts w:ascii="Arial" w:hAnsi="Arial"/>
          <w:color w:val="000000"/>
        </w:rPr>
      </w:pPr>
      <w:r>
        <w:rPr>
          <w:rFonts w:ascii="Arial" w:hAnsi="Arial"/>
          <w:color w:val="000000"/>
        </w:rPr>
        <w:t>Employees and volunteers are entitled to be reimbursed by the Charity for all travelling and other expenses actually, necessarily, reasonably and incidentally incurred by them in carrying out their duties, on submission of an appropriately authorised claim form and relevant supporting point-of-sale receipts.   However, taxation law does NOT permit paid employees to claim travel expenses from their home to their normal place of work.</w:t>
      </w:r>
    </w:p>
    <w:p>
      <w:pPr>
        <w:pStyle w:val="Normal"/>
        <w:rPr>
          <w:rFonts w:ascii="Arial" w:hAnsi="Arial"/>
          <w:color w:val="000000"/>
        </w:rPr>
      </w:pPr>
      <w:r>
        <w:rPr>
          <w:rFonts w:cs="Tahoma" w:ascii="Arial" w:hAnsi="Arial"/>
          <w:b/>
          <w:bCs/>
          <w:i/>
          <w:iCs/>
          <w:color w:val="000000"/>
          <w:szCs w:val="28"/>
        </w:rPr>
        <w:t>“</w:t>
      </w:r>
      <w:r>
        <w:rPr>
          <w:rFonts w:cs="Tahoma" w:ascii="Arial" w:hAnsi="Arial"/>
          <w:b/>
          <w:bCs/>
          <w:i/>
          <w:iCs/>
          <w:color w:val="000000"/>
          <w:szCs w:val="28"/>
        </w:rPr>
        <w:t>Actually”</w:t>
      </w:r>
      <w:r>
        <w:rPr>
          <w:rFonts w:ascii="Arial" w:hAnsi="Arial"/>
          <w:color w:val="000000"/>
        </w:rPr>
        <w:t xml:space="preserve"> means that the claimant actually incurred the claimed expenditure.   </w:t>
      </w:r>
      <w:r>
        <w:rPr>
          <w:rFonts w:ascii="Arial" w:hAnsi="Arial"/>
          <w:i/>
          <w:color w:val="000000"/>
        </w:rPr>
        <w:t xml:space="preserve">eg: </w:t>
      </w:r>
      <w:r>
        <w:rPr>
          <w:rFonts w:ascii="Arial" w:hAnsi="Arial"/>
          <w:color w:val="000000"/>
        </w:rPr>
        <w:t>the bus fare for a journey cannot be claimed if the claimant had decided to leave earlier and walk the journey instead;</w:t>
      </w:r>
    </w:p>
    <w:p>
      <w:pPr>
        <w:pStyle w:val="Normal"/>
        <w:rPr>
          <w:rFonts w:ascii="Arial" w:hAnsi="Arial"/>
          <w:color w:val="000000"/>
        </w:rPr>
      </w:pPr>
      <w:r>
        <w:rPr>
          <w:rFonts w:cs="Tahoma" w:ascii="Arial" w:hAnsi="Arial"/>
          <w:b/>
          <w:bCs/>
          <w:i/>
          <w:iCs/>
          <w:color w:val="000000"/>
          <w:szCs w:val="28"/>
        </w:rPr>
        <w:t>“</w:t>
      </w:r>
      <w:r>
        <w:rPr>
          <w:rFonts w:cs="Tahoma" w:ascii="Arial" w:hAnsi="Arial"/>
          <w:b/>
          <w:bCs/>
          <w:i/>
          <w:iCs/>
          <w:color w:val="000000"/>
          <w:szCs w:val="28"/>
        </w:rPr>
        <w:t>Necessary”</w:t>
      </w:r>
      <w:r>
        <w:rPr>
          <w:rFonts w:ascii="Arial" w:hAnsi="Arial"/>
          <w:color w:val="000000"/>
        </w:rPr>
        <w:t xml:space="preserve"> means that the charitable activity could not have been undertaken efficiently and effectively without incurring the expenditure;</w:t>
      </w:r>
    </w:p>
    <w:p>
      <w:pPr>
        <w:pStyle w:val="Normal"/>
        <w:rPr>
          <w:rFonts w:ascii="Arial" w:hAnsi="Arial"/>
          <w:color w:val="000000"/>
        </w:rPr>
      </w:pPr>
      <w:r>
        <w:rPr>
          <w:rFonts w:cs="Tahoma" w:ascii="Arial" w:hAnsi="Arial"/>
          <w:b/>
          <w:bCs/>
          <w:i/>
          <w:iCs/>
          <w:color w:val="000000"/>
          <w:szCs w:val="28"/>
        </w:rPr>
        <w:t>“</w:t>
      </w:r>
      <w:r>
        <w:rPr>
          <w:rFonts w:cs="Tahoma" w:ascii="Arial" w:hAnsi="Arial"/>
          <w:b/>
          <w:bCs/>
          <w:i/>
          <w:iCs/>
          <w:color w:val="000000"/>
          <w:szCs w:val="28"/>
        </w:rPr>
        <w:t>Reasonable”</w:t>
      </w:r>
      <w:r>
        <w:rPr>
          <w:rFonts w:ascii="Arial" w:hAnsi="Arial"/>
          <w:color w:val="000000"/>
        </w:rPr>
        <w:t xml:space="preserve"> means that the cost of the expense must be commensurate with prudent, value-for-money use of the Charity’s funds to promote &amp; deliver its charitable purposes.   Thus, the cost incurred must be competitive with (</w:t>
      </w:r>
      <w:r>
        <w:rPr>
          <w:rFonts w:ascii="Arial" w:hAnsi="Arial"/>
          <w:i/>
          <w:color w:val="000000"/>
        </w:rPr>
        <w:t>ie:</w:t>
      </w:r>
      <w:r>
        <w:rPr>
          <w:rFonts w:ascii="Arial" w:hAnsi="Arial"/>
          <w:color w:val="000000"/>
        </w:rPr>
        <w:t xml:space="preserve"> similar to) the costs of alternatives of similar quality and suitability-for-purpose.</w:t>
      </w:r>
    </w:p>
    <w:p>
      <w:pPr>
        <w:pStyle w:val="Normal"/>
        <w:rPr>
          <w:rFonts w:ascii="Arial" w:hAnsi="Arial"/>
          <w:color w:val="000000"/>
        </w:rPr>
      </w:pPr>
      <w:r>
        <w:rPr>
          <w:rFonts w:ascii="Arial" w:hAnsi="Arial"/>
          <w:color w:val="000000"/>
        </w:rPr>
        <w:t>However, this does NOT mean that the cheapest goods/services must always be purchased.   Where the additional benefits TO THE CHARITABLE ACTIVITY BEING PROMOTED/DELIVERED demonstrably outweigh the additional cost of more expensive goods/service they can be chosen in preference to the cheaper alternatives.   However, the claimant must always be ready and able to give a credible justification for their choice if challenged.</w:t>
      </w:r>
    </w:p>
    <w:p>
      <w:pPr>
        <w:pStyle w:val="Normal"/>
        <w:rPr>
          <w:rFonts w:ascii="Arial" w:hAnsi="Arial"/>
          <w:color w:val="000000"/>
        </w:rPr>
      </w:pPr>
      <w:r>
        <w:rPr>
          <w:rFonts w:cs="Tahoma" w:ascii="Arial" w:hAnsi="Arial"/>
          <w:b/>
          <w:bCs/>
          <w:i/>
          <w:iCs/>
          <w:color w:val="000000"/>
          <w:szCs w:val="28"/>
        </w:rPr>
        <w:t>“</w:t>
      </w:r>
      <w:r>
        <w:rPr>
          <w:rFonts w:cs="Tahoma" w:ascii="Arial" w:hAnsi="Arial"/>
          <w:b/>
          <w:bCs/>
          <w:i/>
          <w:iCs/>
          <w:color w:val="000000"/>
          <w:szCs w:val="28"/>
        </w:rPr>
        <w:t>Incidental”</w:t>
      </w:r>
      <w:r>
        <w:rPr>
          <w:rFonts w:ascii="Arial" w:hAnsi="Arial"/>
          <w:color w:val="000000"/>
        </w:rPr>
        <w:t xml:space="preserve"> means that the expense(s) must not have been determined by considerations unrelated to the charity activity being promoted/delivered.   For example:  the claimant had attended a meeting the venue for which had been chosen specifically because it also enabled the claimant to visit a nearby friend.   In such a scenario, even though the costs of attending the meeting in that venue would otherwise have been necessary and reasonable, they would not also have been incidental and, therefore would not be eligible for reimbursement.</w:t>
      </w:r>
    </w:p>
    <w:p>
      <w:pPr>
        <w:pStyle w:val="Heading2"/>
        <w:rPr>
          <w:rFonts w:ascii="Arial" w:hAnsi="Arial"/>
          <w:color w:val="000000"/>
        </w:rPr>
      </w:pPr>
      <w:r>
        <w:rPr>
          <w:rFonts w:ascii="Arial" w:hAnsi="Arial"/>
          <w:color w:val="000000"/>
        </w:rPr>
        <w:t>3.2</w:t>
      </w:r>
      <w:r>
        <w:rPr>
          <w:rFonts w:ascii="Arial" w:hAnsi="Arial"/>
          <w:color w:val="000000"/>
        </w:rPr>
        <w:t>Authorisation</w:t>
      </w:r>
    </w:p>
    <w:p>
      <w:pPr>
        <w:pStyle w:val="Normal"/>
        <w:rPr>
          <w:rFonts w:ascii="Arial" w:hAnsi="Arial"/>
          <w:color w:val="000000"/>
        </w:rPr>
      </w:pPr>
      <w:r>
        <w:rPr>
          <w:rFonts w:ascii="Arial" w:hAnsi="Arial"/>
          <w:color w:val="000000"/>
        </w:rPr>
        <w:t>Expenses may only be incurred, and subsequently reimbursed by the Charity, in respect of activities which are part of the Charity’s agreed and budgeted programme of charitable activities (</w:t>
      </w:r>
      <w:r>
        <w:rPr>
          <w:rFonts w:ascii="Arial" w:hAnsi="Arial"/>
          <w:i/>
          <w:color w:val="000000"/>
        </w:rPr>
        <w:t>ie:</w:t>
      </w:r>
      <w:r>
        <w:rPr>
          <w:rFonts w:ascii="Arial" w:hAnsi="Arial"/>
          <w:color w:val="000000"/>
        </w:rPr>
        <w:t xml:space="preserve"> by PRIOR agreement with the relevant budget-holder).</w:t>
      </w:r>
    </w:p>
    <w:p>
      <w:pPr>
        <w:pStyle w:val="Normal"/>
        <w:rPr>
          <w:rFonts w:ascii="Arial" w:hAnsi="Arial"/>
          <w:color w:val="000000"/>
        </w:rPr>
      </w:pPr>
      <w:r>
        <w:rPr>
          <w:rFonts w:ascii="Arial" w:hAnsi="Arial"/>
          <w:color w:val="000000"/>
        </w:rPr>
        <w:t>Likewise, good and/or services may only be purchased on behalf of the Charity, and subsequently reimbursed, in respect of activities which are part of the Charity’s agreed and budgeted programme of charitable activities (</w:t>
      </w:r>
      <w:r>
        <w:rPr>
          <w:rFonts w:ascii="Arial" w:hAnsi="Arial"/>
          <w:i/>
          <w:color w:val="000000"/>
        </w:rPr>
        <w:t>ie:</w:t>
      </w:r>
      <w:r>
        <w:rPr>
          <w:rFonts w:ascii="Arial" w:hAnsi="Arial"/>
          <w:color w:val="000000"/>
        </w:rPr>
        <w:t xml:space="preserve"> by PRIOR agreement with the relevant budget-holder).</w:t>
      </w:r>
    </w:p>
    <w:p>
      <w:pPr>
        <w:pStyle w:val="Heading2"/>
        <w:rPr>
          <w:rFonts w:ascii="Arial" w:hAnsi="Arial"/>
          <w:color w:val="000000"/>
        </w:rPr>
      </w:pPr>
      <w:r>
        <w:rPr>
          <w:rFonts w:ascii="Arial" w:hAnsi="Arial"/>
          <w:color w:val="000000"/>
        </w:rPr>
        <w:t>3.3</w:t>
      </w:r>
      <w:r>
        <w:rPr>
          <w:rFonts w:ascii="Arial" w:hAnsi="Arial"/>
          <w:color w:val="000000"/>
        </w:rPr>
        <w:t>Gifts in Kind (Waived or Unclaimed Expenses/Purchases)</w:t>
      </w:r>
    </w:p>
    <w:p>
      <w:pPr>
        <w:pStyle w:val="Normal"/>
        <w:rPr>
          <w:rFonts w:ascii="Arial" w:hAnsi="Arial"/>
          <w:color w:val="000000"/>
        </w:rPr>
      </w:pPr>
      <w:r>
        <w:rPr>
          <w:rFonts w:ascii="Arial" w:hAnsi="Arial"/>
          <w:color w:val="000000"/>
        </w:rPr>
        <w:t>Some Trustees, Members, Staff, Associates and Volunteers effectively make a donation to their charity by choosing not to claim a reimbursement of expenses and/or purchases to which they would otherwise be entitled.</w:t>
      </w:r>
    </w:p>
    <w:p>
      <w:pPr>
        <w:pStyle w:val="Normal"/>
        <w:rPr>
          <w:rFonts w:ascii="Arial" w:hAnsi="Arial"/>
          <w:color w:val="000000"/>
        </w:rPr>
      </w:pPr>
      <w:r>
        <w:rPr>
          <w:rFonts w:ascii="Arial" w:hAnsi="Arial"/>
          <w:color w:val="000000"/>
        </w:rPr>
        <w:t>The Charity greatly appreciates the generosity of all who choose to act in this way.</w:t>
      </w:r>
    </w:p>
    <w:p>
      <w:pPr>
        <w:pStyle w:val="Normal"/>
        <w:rPr>
          <w:rFonts w:ascii="Arial" w:hAnsi="Arial"/>
          <w:color w:val="000000"/>
        </w:rPr>
      </w:pPr>
      <w:r>
        <w:rPr>
          <w:rFonts w:ascii="Arial" w:hAnsi="Arial"/>
          <w:color w:val="000000"/>
        </w:rPr>
        <w:t>However not claiming reimbursement of legitimate expenses/purchases is not necessarily in the best interests of the charity:-</w:t>
      </w:r>
    </w:p>
    <w:p>
      <w:pPr>
        <w:pStyle w:val="ListParagraph"/>
        <w:numPr>
          <w:ilvl w:val="0"/>
          <w:numId w:val="4"/>
        </w:numPr>
        <w:spacing w:before="80" w:after="0"/>
        <w:ind w:left="425" w:hanging="425"/>
        <w:contextualSpacing w:val="false"/>
        <w:rPr>
          <w:rFonts w:ascii="Arial" w:hAnsi="Arial"/>
          <w:color w:val="000000"/>
        </w:rPr>
      </w:pPr>
      <w:r>
        <w:rPr>
          <w:rFonts w:ascii="Arial" w:hAnsi="Arial"/>
          <w:color w:val="000000"/>
        </w:rPr>
        <w:t>It causes the real costs of the Charity’s activities (</w:t>
      </w:r>
      <w:r>
        <w:rPr>
          <w:rFonts w:ascii="Arial" w:hAnsi="Arial"/>
          <w:i/>
          <w:iCs/>
          <w:color w:val="000000"/>
        </w:rPr>
        <w:t>ie:</w:t>
      </w:r>
      <w:r>
        <w:rPr>
          <w:rFonts w:ascii="Arial" w:hAnsi="Arial"/>
          <w:color w:val="000000"/>
        </w:rPr>
        <w:t xml:space="preserve"> including those costs which are subsidised by supporters) to be under-recorded and, therefore, under-reported (</w:t>
      </w:r>
      <w:r>
        <w:rPr>
          <w:rFonts w:ascii="Arial" w:hAnsi="Arial"/>
          <w:i/>
          <w:color w:val="000000"/>
        </w:rPr>
        <w:t>eg: </w:t>
      </w:r>
      <w:r>
        <w:rPr>
          <w:rFonts w:ascii="Arial" w:hAnsi="Arial"/>
          <w:color w:val="000000"/>
        </w:rPr>
        <w:t>in the Charity’s Annual Report &amp; Financial Statements);</w:t>
      </w:r>
    </w:p>
    <w:p>
      <w:pPr>
        <w:pStyle w:val="ListParagraph"/>
        <w:numPr>
          <w:ilvl w:val="0"/>
          <w:numId w:val="4"/>
        </w:numPr>
        <w:spacing w:before="80" w:after="0"/>
        <w:ind w:left="425" w:hanging="425"/>
        <w:contextualSpacing w:val="false"/>
        <w:rPr>
          <w:rFonts w:ascii="Arial" w:hAnsi="Arial"/>
          <w:color w:val="000000"/>
        </w:rPr>
      </w:pPr>
      <w:r>
        <w:rPr>
          <w:rFonts w:ascii="Arial" w:hAnsi="Arial"/>
          <w:color w:val="000000"/>
        </w:rPr>
        <w:t>It can undermine effective budgeting if a volunteer who has hitherto not claimed their expenses is unable to continue to do so, or is replaced by someone else who is unwilling to do so;</w:t>
      </w:r>
    </w:p>
    <w:p>
      <w:pPr>
        <w:pStyle w:val="ListParagraph"/>
        <w:numPr>
          <w:ilvl w:val="0"/>
          <w:numId w:val="4"/>
        </w:numPr>
        <w:spacing w:before="80" w:after="0"/>
        <w:ind w:left="425" w:hanging="425"/>
        <w:contextualSpacing w:val="false"/>
        <w:rPr>
          <w:rFonts w:ascii="Arial" w:hAnsi="Arial"/>
          <w:color w:val="000000"/>
        </w:rPr>
      </w:pPr>
      <w:r>
        <w:rPr>
          <w:rFonts w:ascii="Arial" w:hAnsi="Arial"/>
          <w:color w:val="000000"/>
        </w:rPr>
        <w:t>It hides the true generosity of the Charity’s supporters, particularly their financial generosity which goes unrecorded and, therefore, unreported;</w:t>
      </w:r>
    </w:p>
    <w:p>
      <w:pPr>
        <w:pStyle w:val="ListParagraph"/>
        <w:numPr>
          <w:ilvl w:val="0"/>
          <w:numId w:val="4"/>
        </w:numPr>
        <w:spacing w:before="80" w:after="0"/>
        <w:ind w:left="425" w:hanging="425"/>
        <w:contextualSpacing w:val="false"/>
        <w:rPr>
          <w:rFonts w:ascii="Arial" w:hAnsi="Arial"/>
          <w:color w:val="000000"/>
        </w:rPr>
      </w:pPr>
      <w:r>
        <w:rPr>
          <w:rFonts w:ascii="Arial" w:hAnsi="Arial"/>
          <w:color w:val="000000"/>
        </w:rPr>
        <w:t>It means that their effective donation to the charity by not claiming reimbursement of their expenses/purchases is not eligible for Gift Aid in the way that it would have been if they had claimed the reimbursement and then donated that money back to the charity;;</w:t>
      </w:r>
    </w:p>
    <w:p>
      <w:pPr>
        <w:pStyle w:val="ListParagraph"/>
        <w:numPr>
          <w:ilvl w:val="0"/>
          <w:numId w:val="4"/>
        </w:numPr>
        <w:spacing w:before="80" w:after="0"/>
        <w:ind w:left="425" w:hanging="425"/>
        <w:contextualSpacing w:val="false"/>
        <w:rPr>
          <w:rFonts w:ascii="Arial" w:hAnsi="Arial"/>
          <w:color w:val="000000"/>
        </w:rPr>
      </w:pPr>
      <w:r>
        <w:rPr>
          <w:rFonts w:ascii="Arial" w:hAnsi="Arial"/>
          <w:color w:val="000000"/>
        </w:rPr>
        <w:t>Under-reporting the Charity’s costs and the generosity of its supporters can hamper the making of effective appeals and applications for further funds for the Charity.</w:t>
      </w:r>
    </w:p>
    <w:p>
      <w:pPr>
        <w:pStyle w:val="Normal"/>
        <w:rPr>
          <w:rFonts w:ascii="Arial" w:hAnsi="Arial"/>
          <w:color w:val="000000"/>
        </w:rPr>
      </w:pPr>
      <w:r>
        <w:rPr>
          <w:rFonts w:ascii="Arial" w:hAnsi="Arial"/>
          <w:b/>
          <w:color w:val="000000"/>
        </w:rPr>
        <w:t>Accordingly, the Charity encourages all those who can legitimately claim reimbursement of their expenses do so.</w:t>
      </w:r>
    </w:p>
    <w:p>
      <w:pPr>
        <w:pStyle w:val="Normal"/>
        <w:rPr>
          <w:rFonts w:ascii="Arial" w:hAnsi="Arial"/>
          <w:color w:val="000000"/>
        </w:rPr>
      </w:pPr>
      <w:r>
        <w:rPr>
          <w:rFonts w:ascii="Arial" w:hAnsi="Arial"/>
          <w:color w:val="000000"/>
        </w:rPr>
        <w:t>This includes those supporters who are minded to waive or not claim their reimbursement as a personal gift to the Charity.   Rather they should claim the reimbursement to which they are entitled and then back-donate it to the Charity, thereby making it eligible for Gift Aid.</w:t>
      </w:r>
    </w:p>
    <w:p>
      <w:pPr>
        <w:pStyle w:val="Normal"/>
        <w:rPr>
          <w:rFonts w:ascii="Arial" w:hAnsi="Arial"/>
          <w:color w:val="000000"/>
        </w:rPr>
      </w:pPr>
      <w:r>
        <w:rPr>
          <w:rFonts w:ascii="Arial" w:hAnsi="Arial"/>
          <w:color w:val="000000"/>
        </w:rPr>
        <w:t>The procedures for doing that are detailed later under the heading</w:t>
        <w:br/>
      </w:r>
      <w:r>
        <w:rPr>
          <w:rFonts w:cs="Tahoma" w:ascii="Arial" w:hAnsi="Arial"/>
          <w:b/>
          <w:bCs/>
          <w:i/>
          <w:iCs/>
          <w:color w:val="000000"/>
        </w:rPr>
        <w:t xml:space="preserve">     “Waiving” Reimbursed Expenses/Purchases as a Gift Aided Donation</w:t>
      </w:r>
      <w:r>
        <w:rPr>
          <w:rFonts w:ascii="Arial" w:hAnsi="Arial"/>
          <w:color w:val="000000"/>
        </w:rPr>
        <w:t>.</w:t>
      </w:r>
    </w:p>
    <w:p>
      <w:pPr>
        <w:pStyle w:val="Heading1"/>
        <w:rPr>
          <w:rFonts w:ascii="Arial" w:hAnsi="Arial"/>
          <w:color w:val="000000"/>
        </w:rPr>
      </w:pPr>
      <w:r>
        <w:rPr>
          <w:rFonts w:ascii="Arial" w:hAnsi="Arial"/>
          <w:color w:val="000000"/>
        </w:rPr>
        <w:t>4.</w:t>
      </w:r>
      <w:r>
        <w:rPr>
          <w:rFonts w:ascii="Arial" w:hAnsi="Arial"/>
          <w:color w:val="000000"/>
        </w:rPr>
        <w:t>Procedures:</w:t>
      </w:r>
    </w:p>
    <w:p>
      <w:pPr>
        <w:pStyle w:val="Heading1"/>
        <w:rPr>
          <w:rFonts w:ascii="Arial" w:hAnsi="Arial"/>
          <w:color w:val="000000"/>
        </w:rPr>
      </w:pPr>
      <w:r>
        <w:rPr>
          <w:rFonts w:ascii="Arial" w:hAnsi="Arial"/>
          <w:color w:val="000000"/>
        </w:rPr>
        <w:t>4.1</w:t>
      </w:r>
      <w:r>
        <w:rPr>
          <w:rFonts w:ascii="Arial" w:hAnsi="Arial"/>
          <w:color w:val="000000"/>
        </w:rPr>
        <w:t xml:space="preserve"> Reimbursement of Expenses &amp; Purchases</w:t>
      </w:r>
    </w:p>
    <w:p>
      <w:pPr>
        <w:pStyle w:val="Heading2"/>
        <w:rPr>
          <w:rFonts w:ascii="Arial" w:hAnsi="Arial"/>
          <w:color w:val="000000"/>
        </w:rPr>
      </w:pPr>
      <w:r>
        <w:rPr>
          <w:rFonts w:ascii="Arial" w:hAnsi="Arial"/>
          <w:color w:val="000000"/>
        </w:rPr>
        <w:t>Submitting Claims for Reimbursement of Expenses &amp; Purchases</w:t>
      </w:r>
    </w:p>
    <w:p>
      <w:pPr>
        <w:pStyle w:val="Bullet"/>
        <w:numPr>
          <w:ilvl w:val="0"/>
          <w:numId w:val="8"/>
        </w:numPr>
        <w:tabs>
          <w:tab w:val="left" w:pos="284" w:leader="none"/>
          <w:tab w:val="left" w:pos="1134" w:leader="none"/>
        </w:tabs>
        <w:ind w:left="284" w:hanging="284"/>
        <w:rPr>
          <w:rFonts w:ascii="Arial" w:hAnsi="Arial"/>
          <w:color w:val="000000"/>
        </w:rPr>
      </w:pPr>
      <w:r>
        <w:rPr>
          <w:rFonts w:ascii="Arial" w:hAnsi="Arial"/>
          <w:color w:val="000000"/>
        </w:rPr>
        <w:t xml:space="preserve">Claims for the reimbursement of expenses must be submitted on the Charity’s approved claims form.   </w:t>
      </w:r>
      <w:r>
        <w:rPr>
          <w:rFonts w:ascii="Arial" w:hAnsi="Arial"/>
          <w:i/>
          <w:color w:val="000000"/>
        </w:rPr>
        <w:t>Ad hoc</w:t>
      </w:r>
      <w:r>
        <w:rPr>
          <w:rFonts w:ascii="Arial" w:hAnsi="Arial"/>
          <w:color w:val="000000"/>
        </w:rPr>
        <w:t xml:space="preserve"> claims will not be considered;</w:t>
      </w:r>
    </w:p>
    <w:p>
      <w:pPr>
        <w:pStyle w:val="Bullet"/>
        <w:numPr>
          <w:ilvl w:val="0"/>
          <w:numId w:val="8"/>
        </w:numPr>
        <w:tabs>
          <w:tab w:val="left" w:pos="284" w:leader="none"/>
          <w:tab w:val="left" w:pos="1134" w:leader="none"/>
        </w:tabs>
        <w:ind w:left="284" w:hanging="284"/>
        <w:rPr>
          <w:rFonts w:ascii="Arial" w:hAnsi="Arial"/>
          <w:color w:val="000000"/>
        </w:rPr>
      </w:pPr>
      <w:r>
        <w:rPr>
          <w:rFonts w:ascii="Arial" w:hAnsi="Arial"/>
          <w:color w:val="000000"/>
        </w:rPr>
        <w:t>Claims for the reimbursement of expenses must be accompanied by documentary evidence of the expense (</w:t>
      </w:r>
      <w:r>
        <w:rPr>
          <w:rFonts w:ascii="Arial" w:hAnsi="Arial"/>
          <w:i/>
          <w:color w:val="000000"/>
        </w:rPr>
        <w:t>eg:</w:t>
      </w:r>
      <w:r>
        <w:rPr>
          <w:rFonts w:ascii="Arial" w:hAnsi="Arial"/>
          <w:color w:val="000000"/>
        </w:rPr>
        <w:t xml:space="preserve"> point-of-sale receipt, travel ticket, </w:t>
      </w:r>
      <w:r>
        <w:rPr>
          <w:rFonts w:ascii="Arial" w:hAnsi="Arial"/>
          <w:i/>
          <w:color w:val="000000"/>
        </w:rPr>
        <w:t>etc</w:t>
      </w:r>
      <w:r>
        <w:rPr>
          <w:rFonts w:ascii="Arial" w:hAnsi="Arial"/>
          <w:color w:val="000000"/>
        </w:rPr>
        <w:t>).</w:t>
      </w:r>
    </w:p>
    <w:p>
      <w:pPr>
        <w:pStyle w:val="Bullet2"/>
        <w:numPr>
          <w:ilvl w:val="0"/>
          <w:numId w:val="8"/>
        </w:numPr>
        <w:tabs>
          <w:tab w:val="clear" w:pos="284"/>
          <w:tab w:val="clear" w:pos="567"/>
        </w:tabs>
        <w:ind w:left="567" w:hanging="284"/>
        <w:rPr>
          <w:rFonts w:ascii="Arial" w:hAnsi="Arial"/>
          <w:color w:val="000000"/>
        </w:rPr>
      </w:pPr>
      <w:r>
        <w:rPr>
          <w:rFonts w:ascii="Arial" w:hAnsi="Arial"/>
          <w:color w:val="000000"/>
        </w:rPr>
        <w:t>Where such evidence is not available the claimant must provide a written explanation to the Treasurer for approval;</w:t>
      </w:r>
    </w:p>
    <w:p>
      <w:pPr>
        <w:pStyle w:val="Bullet2"/>
        <w:numPr>
          <w:ilvl w:val="0"/>
          <w:numId w:val="8"/>
        </w:numPr>
        <w:tabs>
          <w:tab w:val="clear" w:pos="284"/>
          <w:tab w:val="clear" w:pos="567"/>
        </w:tabs>
        <w:ind w:left="567" w:hanging="284"/>
        <w:rPr>
          <w:rFonts w:ascii="Arial" w:hAnsi="Arial"/>
          <w:color w:val="000000"/>
        </w:rPr>
      </w:pPr>
      <w:r>
        <w:rPr>
          <w:rFonts w:ascii="Arial" w:hAnsi="Arial"/>
          <w:color w:val="000000"/>
        </w:rPr>
        <w:t>The Charity reserves the right to decline to reimburse expenses for which reasonable documentary evidence has not been provided;</w:t>
      </w:r>
    </w:p>
    <w:p>
      <w:pPr>
        <w:pStyle w:val="Bullet"/>
        <w:numPr>
          <w:ilvl w:val="0"/>
          <w:numId w:val="8"/>
        </w:numPr>
        <w:tabs>
          <w:tab w:val="left" w:pos="284" w:leader="none"/>
          <w:tab w:val="left" w:pos="1134" w:leader="none"/>
        </w:tabs>
        <w:ind w:left="284" w:hanging="284"/>
        <w:rPr>
          <w:rFonts w:ascii="Arial" w:hAnsi="Arial"/>
          <w:color w:val="000000"/>
        </w:rPr>
      </w:pPr>
      <w:r>
        <w:rPr>
          <w:rFonts w:ascii="Arial" w:hAnsi="Arial"/>
          <w:color w:val="000000"/>
        </w:rPr>
        <w:t>Employees’ and volunteers’ completed expenses claim forms must be authorised by their respective line manager;</w:t>
      </w:r>
    </w:p>
    <w:p>
      <w:pPr>
        <w:pStyle w:val="Bullet"/>
        <w:numPr>
          <w:ilvl w:val="0"/>
          <w:numId w:val="8"/>
        </w:numPr>
        <w:tabs>
          <w:tab w:val="left" w:pos="284" w:leader="none"/>
          <w:tab w:val="left" w:pos="1134" w:leader="none"/>
        </w:tabs>
        <w:ind w:left="284" w:hanging="284"/>
        <w:rPr>
          <w:rFonts w:ascii="Arial" w:hAnsi="Arial"/>
          <w:color w:val="000000"/>
        </w:rPr>
      </w:pPr>
      <w:r>
        <w:rPr>
          <w:rFonts w:ascii="Arial" w:hAnsi="Arial"/>
          <w:color w:val="000000"/>
        </w:rPr>
        <w:t>Trustees’ expenses must be authorised by the Chair or Treasurer;</w:t>
      </w:r>
    </w:p>
    <w:p>
      <w:pPr>
        <w:pStyle w:val="Bullet"/>
        <w:numPr>
          <w:ilvl w:val="0"/>
          <w:numId w:val="8"/>
        </w:numPr>
        <w:tabs>
          <w:tab w:val="left" w:pos="284" w:leader="none"/>
          <w:tab w:val="left" w:pos="1134" w:leader="none"/>
        </w:tabs>
        <w:ind w:left="284" w:hanging="284"/>
        <w:rPr>
          <w:rFonts w:ascii="Arial" w:hAnsi="Arial"/>
          <w:color w:val="000000"/>
        </w:rPr>
      </w:pPr>
      <w:r>
        <w:rPr>
          <w:rFonts w:ascii="Arial" w:hAnsi="Arial"/>
          <w:color w:val="000000"/>
        </w:rPr>
        <w:t>All expenses claims must be submitted within 30 days of the relevant activity.</w:t>
        <w:br/>
        <w:t>Expenses may only be claimed later than 30 days with prior approval from the Treasurer.</w:t>
      </w:r>
    </w:p>
    <w:p>
      <w:pPr>
        <w:pStyle w:val="Bullet"/>
        <w:numPr>
          <w:ilvl w:val="0"/>
          <w:numId w:val="8"/>
        </w:numPr>
        <w:tabs>
          <w:tab w:val="left" w:pos="284" w:leader="none"/>
          <w:tab w:val="left" w:pos="1134" w:leader="none"/>
        </w:tabs>
        <w:ind w:left="284" w:hanging="284"/>
        <w:rPr>
          <w:rFonts w:ascii="Arial" w:hAnsi="Arial"/>
          <w:color w:val="000000"/>
        </w:rPr>
      </w:pPr>
      <w:r>
        <w:rPr>
          <w:rFonts w:ascii="Arial" w:hAnsi="Arial"/>
          <w:color w:val="000000"/>
        </w:rPr>
        <w:t>Expenses claim forms may also include claims for the reimbursement of goods/services purchased by the claimant on behalf of the Charity.</w:t>
      </w:r>
    </w:p>
    <w:p>
      <w:pPr>
        <w:pStyle w:val="Bullet"/>
        <w:numPr>
          <w:ilvl w:val="0"/>
          <w:numId w:val="8"/>
        </w:numPr>
        <w:tabs>
          <w:tab w:val="left" w:pos="284" w:leader="none"/>
          <w:tab w:val="left" w:pos="1134" w:leader="none"/>
        </w:tabs>
        <w:ind w:left="284" w:hanging="284"/>
        <w:rPr>
          <w:rFonts w:ascii="Arial" w:hAnsi="Arial"/>
          <w:color w:val="000000"/>
        </w:rPr>
      </w:pPr>
      <w:r>
        <w:rPr>
          <w:rFonts w:ascii="Arial" w:hAnsi="Arial"/>
          <w:color w:val="000000"/>
        </w:rPr>
        <w:t>Claims for the reimbursement of purchases must be accompanied by documentary evidence of the each purchase (</w:t>
      </w:r>
      <w:r>
        <w:rPr>
          <w:rFonts w:ascii="Arial" w:hAnsi="Arial"/>
          <w:i/>
          <w:color w:val="000000"/>
        </w:rPr>
        <w:t>eg:</w:t>
      </w:r>
      <w:r>
        <w:rPr>
          <w:rFonts w:ascii="Arial" w:hAnsi="Arial"/>
          <w:color w:val="000000"/>
        </w:rPr>
        <w:t xml:space="preserve"> point-of-sale receipt, travel ticket, </w:t>
      </w:r>
      <w:r>
        <w:rPr>
          <w:rFonts w:ascii="Arial" w:hAnsi="Arial"/>
          <w:i/>
          <w:color w:val="000000"/>
        </w:rPr>
        <w:t>etc</w:t>
      </w:r>
      <w:r>
        <w:rPr>
          <w:rFonts w:ascii="Arial" w:hAnsi="Arial"/>
          <w:color w:val="000000"/>
        </w:rPr>
        <w:t>).</w:t>
      </w:r>
    </w:p>
    <w:p>
      <w:pPr>
        <w:pStyle w:val="Heading3"/>
        <w:rPr>
          <w:rFonts w:ascii="Arial" w:hAnsi="Arial"/>
          <w:color w:val="000000"/>
        </w:rPr>
      </w:pPr>
      <w:r>
        <w:rPr>
          <w:rFonts w:ascii="Arial" w:hAnsi="Arial"/>
          <w:color w:val="000000"/>
        </w:rPr>
        <w:t>Travel Expenses</w:t>
      </w:r>
    </w:p>
    <w:p>
      <w:pPr>
        <w:pStyle w:val="Bullet"/>
        <w:keepNext w:val="true"/>
        <w:numPr>
          <w:ilvl w:val="0"/>
          <w:numId w:val="9"/>
        </w:numPr>
        <w:ind w:left="284" w:hanging="284"/>
        <w:rPr>
          <w:rFonts w:ascii="Arial" w:hAnsi="Arial"/>
          <w:color w:val="000000"/>
        </w:rPr>
      </w:pPr>
      <w:r>
        <w:rPr>
          <w:rFonts w:ascii="Arial" w:hAnsi="Arial"/>
          <w:color w:val="000000"/>
        </w:rPr>
        <w:t>Public transport should be used wherever possible.</w:t>
      </w:r>
    </w:p>
    <w:p>
      <w:pPr>
        <w:pStyle w:val="Bullet"/>
        <w:numPr>
          <w:ilvl w:val="0"/>
          <w:numId w:val="9"/>
        </w:numPr>
        <w:ind w:left="284" w:hanging="284"/>
        <w:rPr>
          <w:rFonts w:ascii="Arial" w:hAnsi="Arial"/>
          <w:color w:val="000000"/>
        </w:rPr>
      </w:pPr>
      <w:r>
        <w:rPr>
          <w:rFonts w:ascii="Arial" w:hAnsi="Arial"/>
          <w:color w:val="000000"/>
        </w:rPr>
        <w:t>When it is not practical to use public transport, or where more than one employee or volunteer is travelling the same journey, travel by private vehicle (car, motorcycle, etc) is allowed and a mileage allowance (at the rates available from the Charity office) will be paid.</w:t>
      </w:r>
    </w:p>
    <w:p>
      <w:pPr>
        <w:pStyle w:val="Bullet2"/>
        <w:numPr>
          <w:ilvl w:val="0"/>
          <w:numId w:val="9"/>
        </w:numPr>
        <w:tabs>
          <w:tab w:val="clear" w:pos="284"/>
          <w:tab w:val="clear" w:pos="567"/>
        </w:tabs>
        <w:ind w:left="567" w:hanging="284"/>
        <w:rPr>
          <w:rFonts w:ascii="Arial" w:hAnsi="Arial"/>
          <w:color w:val="000000"/>
        </w:rPr>
      </w:pPr>
      <w:r>
        <w:rPr>
          <w:rFonts w:ascii="Arial" w:hAnsi="Arial"/>
          <w:color w:val="000000"/>
        </w:rPr>
        <w:t>You may only use your private car in connection with Charity business if, at the time of each journey, it has a valid:   (a) certificate of insurance for the kind of journey involved;   (b) road tax (if required);   (c)  MOT certificate (if more than 3 years old).</w:t>
      </w:r>
    </w:p>
    <w:p>
      <w:pPr>
        <w:pStyle w:val="Bullet2"/>
        <w:numPr>
          <w:ilvl w:val="0"/>
          <w:numId w:val="9"/>
        </w:numPr>
        <w:tabs>
          <w:tab w:val="clear" w:pos="284"/>
          <w:tab w:val="clear" w:pos="567"/>
        </w:tabs>
        <w:ind w:left="567" w:hanging="284"/>
        <w:rPr>
          <w:rFonts w:ascii="Arial" w:hAnsi="Arial"/>
          <w:color w:val="000000"/>
        </w:rPr>
      </w:pPr>
      <w:r>
        <w:rPr>
          <w:rFonts w:ascii="Arial" w:hAnsi="Arial"/>
          <w:color w:val="000000"/>
        </w:rPr>
        <w:t>Mileage should be claimed from your normal place of work unless you are travelling from home and the distance is less than that from your normal place of work in which case you should claim from home.</w:t>
      </w:r>
    </w:p>
    <w:p>
      <w:pPr>
        <w:pStyle w:val="Bullet2"/>
        <w:numPr>
          <w:ilvl w:val="0"/>
          <w:numId w:val="9"/>
        </w:numPr>
        <w:tabs>
          <w:tab w:val="clear" w:pos="284"/>
          <w:tab w:val="clear" w:pos="567"/>
        </w:tabs>
        <w:ind w:left="567" w:hanging="284"/>
        <w:rPr>
          <w:rFonts w:ascii="Arial" w:hAnsi="Arial"/>
          <w:color w:val="000000"/>
        </w:rPr>
      </w:pPr>
      <w:r>
        <w:rPr>
          <w:rFonts w:ascii="Arial" w:hAnsi="Arial"/>
          <w:color w:val="000000"/>
        </w:rPr>
        <w:t>Parking costs incurred when on charity business away from the normal place of work will be reimbursed.</w:t>
      </w:r>
    </w:p>
    <w:p>
      <w:pPr>
        <w:pStyle w:val="Bullet"/>
        <w:numPr>
          <w:ilvl w:val="0"/>
          <w:numId w:val="9"/>
        </w:numPr>
        <w:ind w:left="284" w:hanging="284"/>
        <w:rPr>
          <w:rFonts w:ascii="Arial" w:hAnsi="Arial"/>
          <w:color w:val="000000"/>
        </w:rPr>
      </w:pPr>
      <w:r>
        <w:rPr>
          <w:rFonts w:ascii="Arial" w:hAnsi="Arial"/>
          <w:color w:val="000000"/>
        </w:rPr>
        <w:t>Taxis (preferably pre-booked mini-cabs rather than “on demand” hire) may be used where either no public transport is available or the journey time by public transport is unreasonably long (particularly where the journey involves multiple changes).</w:t>
      </w:r>
    </w:p>
    <w:p>
      <w:pPr>
        <w:pStyle w:val="Heading3"/>
        <w:rPr>
          <w:rFonts w:ascii="Arial" w:hAnsi="Arial"/>
          <w:color w:val="000000"/>
        </w:rPr>
      </w:pPr>
      <w:r>
        <w:rPr>
          <w:rFonts w:ascii="Arial" w:hAnsi="Arial"/>
          <w:color w:val="000000"/>
        </w:rPr>
        <w:t>Subsistence</w:t>
      </w:r>
    </w:p>
    <w:p>
      <w:pPr>
        <w:pStyle w:val="Normal"/>
        <w:rPr>
          <w:rFonts w:ascii="Arial" w:hAnsi="Arial"/>
          <w:color w:val="000000"/>
        </w:rPr>
      </w:pPr>
      <w:r>
        <w:rPr>
          <w:rFonts w:ascii="Arial" w:hAnsi="Arial"/>
          <w:color w:val="000000"/>
        </w:rPr>
        <w:t>Subsistence costs (</w:t>
      </w:r>
      <w:r>
        <w:rPr>
          <w:rFonts w:ascii="Arial" w:hAnsi="Arial"/>
          <w:i/>
          <w:color w:val="000000"/>
        </w:rPr>
        <w:t>eg:</w:t>
      </w:r>
      <w:r>
        <w:rPr>
          <w:rFonts w:ascii="Arial" w:hAnsi="Arial"/>
          <w:color w:val="000000"/>
        </w:rPr>
        <w:t xml:space="preserve"> for refreshments, meals &amp; hotel accommodation) can only be claimed when an employee or volunteer is on authorised Charity business away from his/her normal place of work for more than 4 consecutive hours.</w:t>
      </w:r>
    </w:p>
    <w:p>
      <w:pPr>
        <w:pStyle w:val="Heading3"/>
        <w:rPr>
          <w:rFonts w:ascii="Arial" w:hAnsi="Arial"/>
          <w:color w:val="000000"/>
        </w:rPr>
      </w:pPr>
      <w:r>
        <w:rPr>
          <w:rFonts w:ascii="Arial" w:hAnsi="Arial"/>
          <w:color w:val="000000"/>
        </w:rPr>
        <w:t>Telephone Calls</w:t>
      </w:r>
    </w:p>
    <w:p>
      <w:pPr>
        <w:pStyle w:val="Normal"/>
        <w:rPr>
          <w:rFonts w:ascii="Arial" w:hAnsi="Arial"/>
          <w:color w:val="000000"/>
        </w:rPr>
      </w:pPr>
      <w:r>
        <w:rPr>
          <w:rFonts w:ascii="Arial" w:hAnsi="Arial"/>
          <w:color w:val="000000"/>
        </w:rPr>
        <w:t>The Charity will reimburse employees and volunteers for the actual costs of calls made from their personal telephones made whilst carrying out work for the charity because Charity-provided telephone services were not available.</w:t>
        <w:br/>
        <w:t>This includes calls made on a home or mobile telephone or in a public call box.</w:t>
      </w:r>
    </w:p>
    <w:p>
      <w:pPr>
        <w:pStyle w:val="Normal"/>
        <w:rPr>
          <w:rFonts w:ascii="Arial" w:hAnsi="Arial"/>
          <w:color w:val="000000"/>
        </w:rPr>
      </w:pPr>
      <w:r>
        <w:rPr>
          <w:rFonts w:ascii="Arial" w:hAnsi="Arial"/>
          <w:color w:val="000000"/>
        </w:rPr>
        <w:t>No ‘reimbursement’ will be made for the notional cost of calls which incurred no actual cost to the claimant because they were covered by a contract which included an allocation of ‘free’ calls;</w:t>
      </w:r>
    </w:p>
    <w:p>
      <w:pPr>
        <w:pStyle w:val="Heading3"/>
        <w:rPr>
          <w:rFonts w:ascii="Arial" w:hAnsi="Arial"/>
          <w:color w:val="000000"/>
        </w:rPr>
      </w:pPr>
      <w:r>
        <w:rPr>
          <w:rFonts w:ascii="Arial" w:hAnsi="Arial"/>
          <w:color w:val="000000"/>
        </w:rPr>
        <w:t>Other Types of Expenses</w:t>
      </w:r>
    </w:p>
    <w:p>
      <w:pPr>
        <w:pStyle w:val="Normal"/>
        <w:rPr>
          <w:rFonts w:ascii="Arial" w:hAnsi="Arial"/>
          <w:color w:val="000000"/>
        </w:rPr>
      </w:pPr>
      <w:r>
        <w:rPr>
          <w:rFonts w:ascii="Arial" w:hAnsi="Arial"/>
          <w:color w:val="000000"/>
        </w:rPr>
        <w:t>The above examples of expenses claims are illustrative, not definitive.</w:t>
      </w:r>
    </w:p>
    <w:p>
      <w:pPr>
        <w:pStyle w:val="Normal"/>
        <w:rPr>
          <w:rFonts w:ascii="Arial" w:hAnsi="Arial"/>
          <w:color w:val="000000"/>
        </w:rPr>
      </w:pPr>
      <w:r>
        <w:rPr>
          <w:rFonts w:ascii="Arial" w:hAnsi="Arial"/>
          <w:color w:val="000000"/>
        </w:rPr>
        <w:t>Expenses not detailed above will only be paid if authorised (in advance whenever possible) by the Treasurer or, if not available, a person appointed by the Trustees to act on his/her behalf.</w:t>
      </w:r>
    </w:p>
    <w:p>
      <w:pPr>
        <w:pStyle w:val="Heading2"/>
        <w:rPr>
          <w:rFonts w:ascii="Arial" w:hAnsi="Arial"/>
          <w:color w:val="000000"/>
        </w:rPr>
      </w:pPr>
      <w:r>
        <w:rPr>
          <w:rFonts w:ascii="Arial" w:hAnsi="Arial"/>
          <w:color w:val="000000"/>
        </w:rPr>
        <w:t xml:space="preserve">4.2 </w:t>
      </w:r>
      <w:r>
        <w:rPr>
          <w:rFonts w:ascii="Arial" w:hAnsi="Arial"/>
          <w:color w:val="000000"/>
        </w:rPr>
        <w:t>Reimbursement of Expenses &amp; Purchases</w:t>
      </w:r>
    </w:p>
    <w:p>
      <w:pPr>
        <w:pStyle w:val="Bullet"/>
        <w:numPr>
          <w:ilvl w:val="0"/>
          <w:numId w:val="2"/>
        </w:numPr>
        <w:ind w:left="284" w:hanging="284"/>
        <w:rPr>
          <w:rFonts w:ascii="Arial" w:hAnsi="Arial"/>
          <w:color w:val="000000"/>
        </w:rPr>
      </w:pPr>
      <w:r>
        <w:rPr>
          <w:rFonts w:ascii="Arial" w:hAnsi="Arial"/>
          <w:color w:val="000000"/>
        </w:rPr>
        <w:t>All claims submitted for the reimbursement of expenses incurred on Charity activities and/or purchases made on behalf of the Charity will be vetted for compliance with charity law, taxation law and these policies and procedures before being authorised for reimbursement.</w:t>
      </w:r>
    </w:p>
    <w:p>
      <w:pPr>
        <w:pStyle w:val="Bullet"/>
        <w:numPr>
          <w:ilvl w:val="0"/>
          <w:numId w:val="2"/>
        </w:numPr>
        <w:ind w:left="284" w:hanging="284"/>
        <w:rPr>
          <w:rFonts w:ascii="Arial" w:hAnsi="Arial"/>
          <w:color w:val="000000"/>
        </w:rPr>
      </w:pPr>
      <w:r>
        <w:rPr>
          <w:rFonts w:ascii="Arial" w:hAnsi="Arial"/>
          <w:color w:val="000000"/>
        </w:rPr>
        <w:t>Claims which are not in the prescribed form, incomplete (e</w:t>
      </w:r>
      <w:r>
        <w:rPr>
          <w:rFonts w:ascii="Arial" w:hAnsi="Arial"/>
          <w:i/>
          <w:color w:val="000000"/>
        </w:rPr>
        <w:t>g:</w:t>
      </w:r>
      <w:r>
        <w:rPr>
          <w:rFonts w:ascii="Arial" w:hAnsi="Arial"/>
          <w:color w:val="000000"/>
        </w:rPr>
        <w:t xml:space="preserve"> missing required supporting documents), inaccurate or otherwise not compliant with relevant legislation will be returned for correction or rejected.</w:t>
      </w:r>
    </w:p>
    <w:p>
      <w:pPr>
        <w:pStyle w:val="Bullet"/>
        <w:numPr>
          <w:ilvl w:val="0"/>
          <w:numId w:val="2"/>
        </w:numPr>
        <w:ind w:left="284" w:hanging="284"/>
        <w:rPr>
          <w:rFonts w:ascii="Arial" w:hAnsi="Arial"/>
          <w:color w:val="000000"/>
        </w:rPr>
      </w:pPr>
      <w:r>
        <w:rPr>
          <w:rFonts w:ascii="Arial" w:hAnsi="Arial"/>
          <w:color w:val="000000"/>
        </w:rPr>
        <w:t>Valid claims will be authorised for reimbursement as soon as is reasonably practical after receipt.   Payment will usually be made by BACS transfer directly to the claimant’s bank account.   Alternatively payment can be made by cheque or, in the case of small claims (less than £5) may instead be made by cash, where appropriate.</w:t>
      </w:r>
    </w:p>
    <w:p>
      <w:pPr>
        <w:pStyle w:val="Heading1"/>
        <w:rPr>
          <w:rFonts w:ascii="Arial" w:hAnsi="Arial"/>
          <w:color w:val="000000"/>
        </w:rPr>
      </w:pPr>
      <w:r>
        <w:rPr>
          <w:rFonts w:ascii="Arial" w:hAnsi="Arial"/>
          <w:color w:val="000000"/>
        </w:rPr>
        <w:t>5.</w:t>
      </w:r>
      <w:r>
        <w:rPr>
          <w:rFonts w:ascii="Arial" w:hAnsi="Arial"/>
          <w:color w:val="000000"/>
        </w:rPr>
        <w:t>“Waiving” Reimbursed Expenses/Purchases as a Gift Aided Donation</w:t>
      </w:r>
    </w:p>
    <w:p>
      <w:pPr>
        <w:pStyle w:val="Heading2"/>
        <w:rPr>
          <w:rFonts w:ascii="Arial" w:hAnsi="Arial"/>
          <w:color w:val="000000"/>
        </w:rPr>
      </w:pPr>
      <w:r>
        <w:rPr>
          <w:rFonts w:ascii="Arial" w:hAnsi="Arial"/>
          <w:color w:val="000000"/>
        </w:rPr>
        <w:t>5.1</w:t>
      </w:r>
      <w:r>
        <w:rPr>
          <w:rFonts w:ascii="Arial" w:hAnsi="Arial"/>
          <w:color w:val="000000"/>
        </w:rPr>
        <w:t>HM Revenue &amp; Customs Guidelines – ie: Rules – on Gift Aid Donations</w:t>
      </w:r>
    </w:p>
    <w:p>
      <w:pPr>
        <w:pStyle w:val="Normal"/>
        <w:keepNext w:val="true"/>
        <w:rPr/>
      </w:pPr>
      <w:r>
        <w:rPr>
          <w:rFonts w:ascii="Arial" w:hAnsi="Arial"/>
          <w:color w:val="000000"/>
        </w:rPr>
        <w:t>HM Revenue &amp; Customs guidelines on what constitutes a Gift Aid donation are absolutely specific.   The relevant information in contained in section 3.41 of HM Revenue &amp; Customs guidance Chapter-3 Gift Aid:</w:t>
      </w:r>
      <w:r>
        <w:rPr>
          <w:rFonts w:ascii="Arial" w:hAnsi="Arial"/>
          <w:i/>
          <w:iCs/>
          <w:color w:val="000000"/>
          <w:sz w:val="20"/>
          <w:szCs w:val="20"/>
        </w:rPr>
        <w:t xml:space="preserve">     </w:t>
      </w:r>
      <w:hyperlink r:id="rId3">
        <w:r>
          <w:rPr>
            <w:rStyle w:val="InternetLink"/>
            <w:rFonts w:ascii="Arial" w:hAnsi="Arial"/>
            <w:i/>
            <w:iCs/>
            <w:color w:val="000000"/>
            <w:sz w:val="20"/>
            <w:szCs w:val="20"/>
          </w:rPr>
          <w:t>https://www.gov.uk/government/publications/charities-detailed-guidance-notes/chapter-3-gift-aid</w:t>
        </w:r>
      </w:hyperlink>
      <w:r>
        <w:rPr>
          <w:rFonts w:ascii="Arial" w:hAnsi="Arial"/>
          <w:i/>
          <w:iCs/>
          <w:color w:val="000000"/>
          <w:sz w:val="20"/>
          <w:szCs w:val="20"/>
        </w:rPr>
        <w:t xml:space="preserve"> </w:t>
      </w:r>
    </w:p>
    <w:p>
      <w:pPr>
        <w:pStyle w:val="Normal"/>
        <w:rPr>
          <w:rFonts w:ascii="Arial" w:hAnsi="Arial"/>
          <w:color w:val="000000"/>
        </w:rPr>
      </w:pPr>
      <w:r>
        <w:rPr>
          <w:rFonts w:ascii="Arial" w:hAnsi="Arial"/>
          <w:color w:val="000000"/>
        </w:rPr>
        <w:t>The key clauses are:</w:t>
      </w:r>
    </w:p>
    <w:p>
      <w:pPr>
        <w:pStyle w:val="Normal"/>
        <w:spacing w:before="0" w:after="0"/>
        <w:ind w:left="1134" w:right="567" w:hanging="709"/>
        <w:rPr>
          <w:rFonts w:ascii="Arial" w:hAnsi="Arial"/>
          <w:color w:val="000000"/>
        </w:rPr>
      </w:pPr>
      <w:r>
        <w:rPr>
          <w:rFonts w:ascii="Arial" w:hAnsi="Arial"/>
          <w:i/>
          <w:color w:val="000000"/>
          <w:lang w:val="en-US"/>
        </w:rPr>
        <w:t>3.41.2 One of the requirements of the Gift Aid Scheme is that the gift by a donor to a charity ‘takes the form of a payment of a sum of money’.   So a Gift Aid payment to a charity cannot be made by book entries following a waiver of expenses.</w:t>
      </w:r>
    </w:p>
    <w:p>
      <w:pPr>
        <w:pStyle w:val="Normal"/>
        <w:spacing w:before="0" w:after="0"/>
        <w:ind w:left="1134" w:right="567" w:hanging="709"/>
        <w:rPr>
          <w:rFonts w:ascii="Arial" w:hAnsi="Arial"/>
          <w:color w:val="000000"/>
        </w:rPr>
      </w:pPr>
      <w:r>
        <w:rPr>
          <w:rFonts w:ascii="Arial" w:hAnsi="Arial"/>
          <w:i/>
          <w:color w:val="000000"/>
          <w:lang w:val="en-US"/>
        </w:rPr>
        <w:t>3.41.3 The charity must physically pay the expenses to the volunteer.   The volunteer is then free to keep the money or pay part or all of it back to the charity as a Gift Aid payment.   If they give all of the expenses paid back to the charity, they’re not returning the expenses but making a payment of an equivalent amount.</w:t>
      </w:r>
    </w:p>
    <w:p>
      <w:pPr>
        <w:pStyle w:val="Normal"/>
        <w:rPr>
          <w:rFonts w:ascii="Arial" w:hAnsi="Arial"/>
          <w:color w:val="000000"/>
        </w:rPr>
      </w:pPr>
      <w:r>
        <w:rPr>
          <w:rFonts w:ascii="Arial" w:hAnsi="Arial"/>
          <w:color w:val="000000"/>
        </w:rPr>
        <w:t>…</w:t>
      </w:r>
      <w:r>
        <w:rPr>
          <w:rFonts w:ascii="Arial" w:hAnsi="Arial"/>
          <w:color w:val="000000"/>
        </w:rPr>
        <w:t>..but Small Charity Support recommends that you look at the whole section 3.41, which is not long.</w:t>
      </w:r>
    </w:p>
    <w:p>
      <w:pPr>
        <w:pStyle w:val="Normal"/>
        <w:rPr>
          <w:rFonts w:ascii="Arial" w:hAnsi="Arial"/>
          <w:color w:val="000000"/>
        </w:rPr>
      </w:pPr>
      <w:r>
        <w:rPr>
          <w:rFonts w:ascii="Arial" w:hAnsi="Arial"/>
          <w:color w:val="000000"/>
        </w:rPr>
        <w:t xml:space="preserve">What this means is there cannot be any form of </w:t>
      </w:r>
      <w:r>
        <w:rPr>
          <w:rFonts w:ascii="Arial" w:hAnsi="Arial"/>
          <w:i/>
          <w:color w:val="000000"/>
        </w:rPr>
        <w:t xml:space="preserve">quid-pro-quo </w:t>
      </w:r>
      <w:r>
        <w:rPr>
          <w:rFonts w:ascii="Arial" w:hAnsi="Arial"/>
          <w:color w:val="000000"/>
        </w:rPr>
        <w:t xml:space="preserve">exchange or “deal” between the Charity and the claimant/donor along the lines of </w:t>
      </w:r>
      <w:r>
        <w:rPr>
          <w:rFonts w:ascii="Arial" w:hAnsi="Arial"/>
          <w:i/>
          <w:color w:val="000000"/>
        </w:rPr>
        <w:t>“don’t reimburse my expenses claim, keep the money as a donation”</w:t>
      </w:r>
      <w:r>
        <w:rPr>
          <w:rFonts w:ascii="Arial" w:hAnsi="Arial"/>
          <w:color w:val="000000"/>
        </w:rPr>
        <w:t>.   The Charity first has to make an actual repayment of the expenses claim in a way that is verifiable by HMRC (usually by BACS transfer or by cheque to the claimant’s own account) and then the claimant must separately make a similar, reciprocal, verifiable donation to the Charity.   The donation has to be made by cheque or BACS/online payment (and also by debit or credit card if the Charity is able to accept such card payments).</w:t>
      </w:r>
    </w:p>
    <w:p>
      <w:pPr>
        <w:pStyle w:val="Normal"/>
        <w:rPr>
          <w:rFonts w:ascii="Arial" w:hAnsi="Arial"/>
          <w:color w:val="000000"/>
        </w:rPr>
      </w:pPr>
      <w:r>
        <w:rPr>
          <w:rFonts w:ascii="Arial" w:hAnsi="Arial"/>
          <w:color w:val="000000"/>
        </w:rPr>
        <w:t>This makes life particularly difficult for supporters who frequently incur small expenses which they are happy to “donate” to their charity and would be even happier to be able to add the extra “bonus” of Gift Aid to their generosity.   But, not surprisingly, the rigmarole of each time having to claim an actual monetary reimbursement of their expenses and then make a separate actual monetary donation to their charity on a claim-by-claim basis simply makes the process hideously inefficient and impractical for most small claims.</w:t>
      </w:r>
      <w:r>
        <w:rPr>
          <w:rStyle w:val="FootnoteAnchor"/>
          <w:rFonts w:ascii="Arial" w:hAnsi="Arial"/>
          <w:color w:val="000000"/>
        </w:rPr>
        <w:footnoteReference w:id="2"/>
      </w:r>
    </w:p>
    <w:p>
      <w:pPr>
        <w:pStyle w:val="Heading2"/>
        <w:rPr>
          <w:rFonts w:ascii="Arial" w:hAnsi="Arial"/>
          <w:color w:val="000000"/>
        </w:rPr>
      </w:pPr>
      <w:r>
        <w:rPr>
          <w:rFonts w:ascii="Arial" w:hAnsi="Arial"/>
          <w:color w:val="000000"/>
        </w:rPr>
        <w:t>6.</w:t>
      </w:r>
      <w:r>
        <w:rPr>
          <w:rFonts w:ascii="Arial" w:hAnsi="Arial"/>
          <w:color w:val="000000"/>
        </w:rPr>
        <w:t>Deferred Reimbursement of Expenses &amp; Purchases</w:t>
      </w:r>
    </w:p>
    <w:p>
      <w:pPr>
        <w:pStyle w:val="Normal"/>
        <w:rPr>
          <w:rFonts w:ascii="Arial" w:hAnsi="Arial"/>
          <w:color w:val="000000"/>
        </w:rPr>
      </w:pPr>
      <w:r>
        <w:rPr>
          <w:rFonts w:ascii="Arial" w:hAnsi="Arial"/>
          <w:color w:val="000000"/>
        </w:rPr>
        <w:t>Where a claimant is intending to donate the reimbursement of their expenses/purchases claim back to their charity, the rigmarole of having to go through a separate “claim – reimbursement – donation” procedure on each occasion can be reduced if the claimant is willing make the claim in the usual way but to allow the charity to defer the reimbursement (</w:t>
      </w:r>
      <w:r>
        <w:rPr>
          <w:rFonts w:ascii="Arial" w:hAnsi="Arial"/>
          <w:i/>
          <w:color w:val="000000"/>
        </w:rPr>
        <w:t>eg:</w:t>
      </w:r>
      <w:r>
        <w:rPr>
          <w:rFonts w:ascii="Arial" w:hAnsi="Arial"/>
          <w:color w:val="000000"/>
        </w:rPr>
        <w:t xml:space="preserve"> till the end of the charity’s financial year).</w:t>
      </w:r>
    </w:p>
    <w:p>
      <w:pPr>
        <w:pStyle w:val="Heading2"/>
        <w:rPr>
          <w:rFonts w:ascii="Arial" w:hAnsi="Arial"/>
          <w:color w:val="000000"/>
        </w:rPr>
      </w:pPr>
      <w:r>
        <w:rPr>
          <w:rFonts w:ascii="Arial" w:hAnsi="Arial"/>
          <w:color w:val="000000"/>
        </w:rPr>
        <w:t>6.1</w:t>
      </w:r>
      <w:r>
        <w:rPr>
          <w:rFonts w:ascii="Arial" w:hAnsi="Arial"/>
          <w:color w:val="000000"/>
        </w:rPr>
        <w:t>Procedure</w:t>
      </w:r>
    </w:p>
    <w:p>
      <w:pPr>
        <w:pStyle w:val="Bullet"/>
        <w:numPr>
          <w:ilvl w:val="0"/>
          <w:numId w:val="2"/>
        </w:numPr>
        <w:ind w:left="284" w:hanging="284"/>
        <w:rPr>
          <w:rFonts w:ascii="Arial" w:hAnsi="Arial"/>
          <w:color w:val="000000"/>
        </w:rPr>
      </w:pPr>
      <w:r>
        <w:rPr>
          <w:rFonts w:ascii="Arial" w:hAnsi="Arial"/>
          <w:color w:val="000000"/>
        </w:rPr>
        <w:t>Claimants who are considering waiving their claim as a gift to the charity should tick the “Defer Reimbursement” box on the Expenses &amp; Purchases Reimbursement Claim Form (attached).</w:t>
      </w:r>
    </w:p>
    <w:p>
      <w:pPr>
        <w:pStyle w:val="Bullet"/>
        <w:numPr>
          <w:ilvl w:val="0"/>
          <w:numId w:val="2"/>
        </w:numPr>
        <w:ind w:left="284" w:hanging="284"/>
        <w:rPr>
          <w:rFonts w:ascii="Arial" w:hAnsi="Arial"/>
          <w:color w:val="000000"/>
        </w:rPr>
      </w:pPr>
      <w:r>
        <w:rPr>
          <w:rFonts w:ascii="Arial" w:hAnsi="Arial"/>
          <w:color w:val="000000"/>
        </w:rPr>
        <w:t>The Charity will maintain a record of those deferred claims in the same way as for any other outstanding payment.</w:t>
      </w:r>
    </w:p>
    <w:p>
      <w:pPr>
        <w:pStyle w:val="Bullet"/>
        <w:numPr>
          <w:ilvl w:val="0"/>
          <w:numId w:val="2"/>
        </w:numPr>
        <w:ind w:left="284" w:hanging="284"/>
        <w:rPr>
          <w:rFonts w:ascii="Arial" w:hAnsi="Arial"/>
          <w:color w:val="000000"/>
        </w:rPr>
      </w:pPr>
      <w:r>
        <w:rPr>
          <w:rFonts w:ascii="Arial" w:hAnsi="Arial"/>
          <w:color w:val="000000"/>
        </w:rPr>
        <w:t>About a month before the end of the deferred payment date (</w:t>
      </w:r>
      <w:r>
        <w:rPr>
          <w:rFonts w:ascii="Arial" w:hAnsi="Arial"/>
          <w:i/>
          <w:color w:val="000000"/>
        </w:rPr>
        <w:t>ie:</w:t>
      </w:r>
      <w:r>
        <w:rPr>
          <w:rFonts w:ascii="Arial" w:hAnsi="Arial"/>
          <w:color w:val="000000"/>
        </w:rPr>
        <w:t xml:space="preserve"> the end of the Charity’s financial year) it will make to the claimant one single reimbursement for the total of all their outstanding (</w:t>
      </w:r>
      <w:r>
        <w:rPr>
          <w:rFonts w:ascii="Arial" w:hAnsi="Arial"/>
          <w:i/>
          <w:color w:val="000000"/>
        </w:rPr>
        <w:t>ie:</w:t>
      </w:r>
      <w:r>
        <w:rPr>
          <w:rFonts w:ascii="Arial" w:hAnsi="Arial"/>
          <w:color w:val="000000"/>
        </w:rPr>
        <w:t xml:space="preserve"> deferred) expenses claims.</w:t>
      </w:r>
    </w:p>
    <w:p>
      <w:pPr>
        <w:pStyle w:val="Bullet"/>
        <w:numPr>
          <w:ilvl w:val="0"/>
          <w:numId w:val="2"/>
        </w:numPr>
        <w:ind w:left="284" w:hanging="284"/>
        <w:rPr>
          <w:rFonts w:ascii="Arial" w:hAnsi="Arial"/>
          <w:color w:val="000000"/>
        </w:rPr>
      </w:pPr>
      <w:r>
        <w:rPr>
          <w:rFonts w:ascii="Arial" w:hAnsi="Arial"/>
          <w:color w:val="000000"/>
        </w:rPr>
        <w:t>The claimant then has 2 options:</w:t>
      </w:r>
    </w:p>
    <w:p>
      <w:pPr>
        <w:pStyle w:val="ListParagraph"/>
        <w:numPr>
          <w:ilvl w:val="0"/>
          <w:numId w:val="5"/>
        </w:numPr>
        <w:spacing w:before="80" w:after="0"/>
        <w:ind w:left="709" w:hanging="426"/>
        <w:contextualSpacing w:val="false"/>
        <w:rPr>
          <w:rFonts w:ascii="Arial" w:hAnsi="Arial"/>
          <w:color w:val="000000"/>
        </w:rPr>
      </w:pPr>
      <w:r>
        <w:rPr>
          <w:rFonts w:ascii="Arial" w:hAnsi="Arial"/>
          <w:color w:val="000000"/>
        </w:rPr>
        <w:t>They can decide that they would like to keep the reimbursement of their expenses after-all.   In that case they need take no further action (other than banking the cheque if that is the method of reimbursement).</w:t>
        <w:br/>
        <w:t>It is emphasised that everyone is completely entitled to do that – it will not cause any difficulty or embarrassment to the Charity and nor should it to the claimant.   Donations to the Charity are, and always will be, entirely voluntary.   So claimants should not feel legally obliged to honour any earlier suggestion that they would donate the reimbursement of their expenses back to the Charity.</w:t>
      </w:r>
    </w:p>
    <w:p>
      <w:pPr>
        <w:pStyle w:val="ListParagraph"/>
        <w:numPr>
          <w:ilvl w:val="0"/>
          <w:numId w:val="5"/>
        </w:numPr>
        <w:spacing w:before="80" w:after="0"/>
        <w:ind w:left="709" w:hanging="426"/>
        <w:contextualSpacing w:val="false"/>
        <w:rPr>
          <w:rFonts w:ascii="Arial" w:hAnsi="Arial"/>
          <w:color w:val="000000"/>
        </w:rPr>
      </w:pPr>
      <w:r>
        <w:rPr>
          <w:rFonts w:ascii="Arial" w:hAnsi="Arial"/>
          <w:color w:val="000000"/>
        </w:rPr>
        <w:t>Having received/banked the reimbursement of their expenses the claimant then makes a single donation of their choice (</w:t>
      </w:r>
      <w:r>
        <w:rPr>
          <w:rFonts w:ascii="Arial" w:hAnsi="Arial"/>
          <w:i/>
          <w:color w:val="000000"/>
        </w:rPr>
        <w:t>ie: </w:t>
      </w:r>
      <w:r>
        <w:rPr>
          <w:rFonts w:ascii="Arial" w:hAnsi="Arial"/>
          <w:color w:val="000000"/>
        </w:rPr>
        <w:t>it could be for the same amount as their total reimbursement, or less, or more as they see fit) by cheque, BACS transfer, or – if the Charity is able to receive it – by debit or credit card.</w:t>
        <w:br/>
        <w:t>If the claimant has included (or has previously made) a Gift Aid Declaration the Charity will then be able to reclaim the Gift Aid on their donation.   The current version of the HMRC Gift Aid Declaration form can be found by searching the internet for “</w:t>
      </w:r>
      <w:r>
        <w:rPr>
          <w:rFonts w:ascii="Arial" w:hAnsi="Arial"/>
          <w:i/>
          <w:iCs/>
          <w:color w:val="000000"/>
        </w:rPr>
        <w:t>Gift Aid Declaration Form</w:t>
      </w:r>
      <w:r>
        <w:rPr>
          <w:rFonts w:ascii="Arial" w:hAnsi="Arial"/>
          <w:color w:val="000000"/>
        </w:rPr>
        <w:t xml:space="preserve">” (but make sure that you only use the form from a </w:t>
      </w:r>
      <w:r>
        <w:rPr>
          <w:rFonts w:ascii="Arial" w:hAnsi="Arial"/>
          <w:b/>
          <w:bCs/>
          <w:color w:val="000000"/>
        </w:rPr>
        <w:t>gov.uk</w:t>
      </w:r>
      <w:r>
        <w:rPr>
          <w:rFonts w:ascii="Arial" w:hAnsi="Arial"/>
          <w:color w:val="000000"/>
        </w:rPr>
        <w:t xml:space="preserve"> website).</w:t>
        <w:br/>
      </w:r>
      <w:r>
        <w:rPr>
          <w:rFonts w:ascii="Arial" w:hAnsi="Arial"/>
          <w:b/>
          <w:bCs/>
          <w:color w:val="000000"/>
        </w:rPr>
        <w:t>Note:</w:t>
      </w:r>
      <w:r>
        <w:rPr>
          <w:rFonts w:ascii="Arial" w:hAnsi="Arial"/>
          <w:i/>
          <w:iCs/>
          <w:color w:val="000000"/>
          <w:sz w:val="22"/>
          <w:szCs w:val="22"/>
        </w:rPr>
        <w:t xml:space="preserve">   You can re-create the form to reflect your charity’s own “branding” – ie: include the name of the charity at the top of the form using your charity’s logo rather than having to write it in by hand – but you MUST reproduce all the other wording, and collect all the same donor details, exactly as on the HMRC example form.</w:t>
      </w:r>
    </w:p>
    <w:p>
      <w:pPr>
        <w:pStyle w:val="Normal"/>
        <w:rPr>
          <w:rFonts w:ascii="Arial" w:hAnsi="Arial"/>
          <w:color w:val="000000"/>
        </w:rPr>
      </w:pPr>
      <w:r>
        <w:rPr>
          <w:rFonts w:ascii="Arial" w:hAnsi="Arial"/>
          <w:color w:val="000000"/>
        </w:rPr>
      </w:r>
    </w:p>
    <w:p>
      <w:pPr>
        <w:pStyle w:val="Normal"/>
        <w:rPr>
          <w:rFonts w:ascii="Arial" w:hAnsi="Arial"/>
          <w:color w:val="000000"/>
        </w:rPr>
      </w:pPr>
      <w:r>
        <w:rPr>
          <w:rFonts w:ascii="Arial" w:hAnsi="Arial"/>
          <w:color w:val="000000"/>
        </w:rPr>
      </w:r>
    </w:p>
    <w:tbl>
      <w:tblPr>
        <w:tblW w:w="9922"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1755"/>
        <w:gridCol w:w="1506"/>
        <w:gridCol w:w="6661"/>
      </w:tblGrid>
      <w:tr>
        <w:trPr/>
        <w:tc>
          <w:tcPr>
            <w:tcW w:w="1755" w:type="dxa"/>
            <w:tcBorders>
              <w:top w:val="single" w:sz="18" w:space="0" w:color="000000"/>
              <w:left w:val="single" w:sz="18" w:space="0" w:color="000000"/>
              <w:bottom w:val="single" w:sz="4" w:space="0" w:color="000000"/>
              <w:right w:val="single" w:sz="4" w:space="0" w:color="000000"/>
            </w:tcBorders>
            <w:shd w:color="auto" w:fill="579D1C" w:val="clear"/>
          </w:tcPr>
          <w:p>
            <w:pPr>
              <w:pStyle w:val="TableContents"/>
              <w:widowControl w:val="false"/>
              <w:spacing w:before="0" w:after="0"/>
              <w:jc w:val="center"/>
              <w:rPr>
                <w:rFonts w:ascii="Arial" w:hAnsi="Arial"/>
                <w:color w:val="000000"/>
              </w:rPr>
            </w:pPr>
            <w:r>
              <w:rPr>
                <w:rFonts w:ascii="Arial" w:hAnsi="Arial"/>
                <w:b/>
                <w:color w:val="000000"/>
                <w:sz w:val="20"/>
                <w:szCs w:val="20"/>
              </w:rPr>
              <w:t>Date of Change:</w:t>
            </w:r>
          </w:p>
        </w:tc>
        <w:tc>
          <w:tcPr>
            <w:tcW w:w="1506" w:type="dxa"/>
            <w:tcBorders>
              <w:top w:val="single" w:sz="18" w:space="0" w:color="000000"/>
              <w:left w:val="single" w:sz="4" w:space="0" w:color="000000"/>
              <w:bottom w:val="single" w:sz="4" w:space="0" w:color="000000"/>
              <w:right w:val="single" w:sz="4" w:space="0" w:color="000000"/>
            </w:tcBorders>
            <w:shd w:color="auto" w:fill="579D1C" w:val="clear"/>
          </w:tcPr>
          <w:p>
            <w:pPr>
              <w:pStyle w:val="TableContents"/>
              <w:widowControl w:val="false"/>
              <w:spacing w:before="0" w:after="0"/>
              <w:jc w:val="center"/>
              <w:rPr>
                <w:rFonts w:ascii="Arial" w:hAnsi="Arial"/>
                <w:color w:val="000000"/>
              </w:rPr>
            </w:pPr>
            <w:r>
              <w:rPr>
                <w:rFonts w:ascii="Arial" w:hAnsi="Arial"/>
                <w:b/>
                <w:color w:val="000000"/>
                <w:sz w:val="20"/>
                <w:szCs w:val="20"/>
              </w:rPr>
              <w:t>Changed By:</w:t>
            </w:r>
          </w:p>
        </w:tc>
        <w:tc>
          <w:tcPr>
            <w:tcW w:w="6661" w:type="dxa"/>
            <w:tcBorders>
              <w:top w:val="single" w:sz="18" w:space="0" w:color="000000"/>
              <w:left w:val="single" w:sz="4" w:space="0" w:color="000000"/>
              <w:bottom w:val="single" w:sz="4" w:space="0" w:color="000000"/>
              <w:right w:val="single" w:sz="18" w:space="0" w:color="000000"/>
            </w:tcBorders>
            <w:shd w:color="auto" w:fill="579D1C" w:val="clear"/>
          </w:tcPr>
          <w:p>
            <w:pPr>
              <w:pStyle w:val="TableContents"/>
              <w:widowControl w:val="false"/>
              <w:spacing w:before="0" w:after="0"/>
              <w:rPr>
                <w:rFonts w:ascii="Arial" w:hAnsi="Arial"/>
                <w:color w:val="000000"/>
              </w:rPr>
            </w:pPr>
            <w:r>
              <w:rPr>
                <w:rFonts w:ascii="Arial" w:hAnsi="Arial"/>
                <w:b/>
                <w:color w:val="000000"/>
                <w:sz w:val="20"/>
                <w:szCs w:val="20"/>
              </w:rPr>
              <w:t>Comments:</w:t>
            </w:r>
          </w:p>
        </w:tc>
      </w:tr>
      <w:tr>
        <w:trPr/>
        <w:tc>
          <w:tcPr>
            <w:tcW w:w="1755" w:type="dxa"/>
            <w:tcBorders>
              <w:top w:val="single" w:sz="4" w:space="0" w:color="000000"/>
              <w:left w:val="single" w:sz="18" w:space="0" w:color="000000"/>
              <w:bottom w:val="single" w:sz="4" w:space="0" w:color="000000"/>
              <w:right w:val="single" w:sz="4" w:space="0" w:color="000000"/>
            </w:tcBorders>
            <w:shd w:color="auto" w:fill="auto" w:val="clear"/>
          </w:tcPr>
          <w:p>
            <w:pPr>
              <w:pStyle w:val="TableContents"/>
              <w:widowControl w:val="false"/>
              <w:spacing w:before="60" w:after="0"/>
              <w:jc w:val="center"/>
              <w:rPr>
                <w:rFonts w:ascii="Arial" w:hAnsi="Arial"/>
                <w:color w:val="000000"/>
              </w:rPr>
            </w:pPr>
            <w:r>
              <w:rPr>
                <w:rFonts w:ascii="Arial" w:hAnsi="Arial"/>
                <w:color w:val="000000"/>
              </w:rPr>
              <w:t>dd/mm/yy</w:t>
            </w:r>
          </w:p>
        </w:tc>
        <w:tc>
          <w:tcPr>
            <w:tcW w:w="1506" w:type="dxa"/>
            <w:tcBorders>
              <w:top w:val="single" w:sz="4" w:space="0" w:color="000000"/>
              <w:left w:val="single" w:sz="4" w:space="0" w:color="000000"/>
              <w:bottom w:val="single" w:sz="4" w:space="0" w:color="000000"/>
              <w:right w:val="single" w:sz="4" w:space="0" w:color="000000"/>
            </w:tcBorders>
            <w:shd w:color="auto" w:fill="auto" w:val="clear"/>
          </w:tcPr>
          <w:p>
            <w:pPr>
              <w:pStyle w:val="TableContents"/>
              <w:widowControl w:val="false"/>
              <w:spacing w:before="60" w:after="0"/>
              <w:jc w:val="center"/>
              <w:rPr>
                <w:rFonts w:ascii="Arial" w:hAnsi="Arial"/>
                <w:color w:val="000000"/>
              </w:rPr>
            </w:pPr>
            <w:r>
              <w:rPr>
                <w:rFonts w:ascii="Arial" w:hAnsi="Arial"/>
                <w:color w:val="000000"/>
              </w:rPr>
              <w:t>XX</w:t>
            </w:r>
          </w:p>
        </w:tc>
        <w:tc>
          <w:tcPr>
            <w:tcW w:w="6661" w:type="dxa"/>
            <w:tcBorders>
              <w:top w:val="single" w:sz="4" w:space="0" w:color="000000"/>
              <w:left w:val="single" w:sz="4" w:space="0" w:color="000000"/>
              <w:bottom w:val="single" w:sz="4" w:space="0" w:color="000000"/>
              <w:right w:val="single" w:sz="18" w:space="0" w:color="000000"/>
            </w:tcBorders>
            <w:shd w:color="auto" w:fill="auto" w:val="clear"/>
          </w:tcPr>
          <w:p>
            <w:pPr>
              <w:pStyle w:val="TableContents"/>
              <w:widowControl w:val="false"/>
              <w:spacing w:before="60" w:after="0"/>
              <w:rPr>
                <w:rFonts w:ascii="Arial" w:hAnsi="Arial"/>
                <w:color w:val="000000"/>
              </w:rPr>
            </w:pPr>
            <w:r>
              <w:rPr>
                <w:rFonts w:ascii="Arial" w:hAnsi="Arial"/>
                <w:color w:val="000000"/>
              </w:rPr>
              <w:t>Policy approved by the Trustees</w:t>
            </w:r>
          </w:p>
        </w:tc>
      </w:tr>
      <w:tr>
        <w:trPr/>
        <w:tc>
          <w:tcPr>
            <w:tcW w:w="1755" w:type="dxa"/>
            <w:tcBorders>
              <w:top w:val="single" w:sz="4" w:space="0" w:color="000000"/>
              <w:left w:val="single" w:sz="18" w:space="0" w:color="000000"/>
              <w:bottom w:val="single" w:sz="4" w:space="0" w:color="000000"/>
              <w:right w:val="single" w:sz="4" w:space="0" w:color="000000"/>
            </w:tcBorders>
            <w:shd w:color="auto" w:fill="auto" w:val="clear"/>
          </w:tcPr>
          <w:p>
            <w:pPr>
              <w:pStyle w:val="TableContents"/>
              <w:widowControl w:val="false"/>
              <w:spacing w:before="60" w:after="0"/>
              <w:jc w:val="center"/>
              <w:rPr>
                <w:rFonts w:ascii="Arial" w:hAnsi="Arial"/>
                <w:color w:val="000000"/>
              </w:rPr>
            </w:pPr>
            <w:r>
              <w:rPr>
                <w:rFonts w:ascii="Arial" w:hAnsi="Arial"/>
                <w:color w:val="000000"/>
              </w:rPr>
            </w:r>
          </w:p>
        </w:tc>
        <w:tc>
          <w:tcPr>
            <w:tcW w:w="1506" w:type="dxa"/>
            <w:tcBorders>
              <w:top w:val="single" w:sz="4" w:space="0" w:color="000000"/>
              <w:left w:val="single" w:sz="4" w:space="0" w:color="000000"/>
              <w:bottom w:val="single" w:sz="4" w:space="0" w:color="000000"/>
              <w:right w:val="single" w:sz="4" w:space="0" w:color="000000"/>
            </w:tcBorders>
            <w:shd w:color="auto" w:fill="auto" w:val="clear"/>
          </w:tcPr>
          <w:p>
            <w:pPr>
              <w:pStyle w:val="TableContents"/>
              <w:widowControl w:val="false"/>
              <w:spacing w:before="60" w:after="0"/>
              <w:jc w:val="center"/>
              <w:rPr>
                <w:rFonts w:ascii="Arial" w:hAnsi="Arial"/>
                <w:color w:val="000000"/>
              </w:rPr>
            </w:pPr>
            <w:r>
              <w:rPr>
                <w:rFonts w:ascii="Arial" w:hAnsi="Arial"/>
                <w:color w:val="000000"/>
              </w:rPr>
            </w:r>
          </w:p>
        </w:tc>
        <w:tc>
          <w:tcPr>
            <w:tcW w:w="6661" w:type="dxa"/>
            <w:tcBorders>
              <w:top w:val="single" w:sz="4" w:space="0" w:color="000000"/>
              <w:left w:val="single" w:sz="4" w:space="0" w:color="000000"/>
              <w:bottom w:val="single" w:sz="4" w:space="0" w:color="000000"/>
              <w:right w:val="single" w:sz="18" w:space="0" w:color="000000"/>
            </w:tcBorders>
            <w:shd w:color="auto" w:fill="auto" w:val="clear"/>
          </w:tcPr>
          <w:p>
            <w:pPr>
              <w:pStyle w:val="TableContents"/>
              <w:widowControl w:val="false"/>
              <w:spacing w:before="60" w:after="0"/>
              <w:rPr>
                <w:rFonts w:ascii="Arial" w:hAnsi="Arial"/>
                <w:color w:val="000000"/>
              </w:rPr>
            </w:pPr>
            <w:r>
              <w:rPr>
                <w:rFonts w:ascii="Arial" w:hAnsi="Arial"/>
                <w:color w:val="000000"/>
              </w:rPr>
            </w:r>
          </w:p>
        </w:tc>
      </w:tr>
      <w:tr>
        <w:trPr/>
        <w:tc>
          <w:tcPr>
            <w:tcW w:w="1755" w:type="dxa"/>
            <w:tcBorders>
              <w:top w:val="single" w:sz="4" w:space="0" w:color="000000"/>
              <w:left w:val="single" w:sz="18" w:space="0" w:color="000000"/>
              <w:bottom w:val="single" w:sz="18" w:space="0" w:color="000000"/>
              <w:right w:val="single" w:sz="4" w:space="0" w:color="000000"/>
            </w:tcBorders>
            <w:shd w:color="auto" w:fill="auto" w:val="clear"/>
          </w:tcPr>
          <w:p>
            <w:pPr>
              <w:pStyle w:val="TableContents"/>
              <w:widowControl w:val="false"/>
              <w:spacing w:before="60" w:after="0"/>
              <w:jc w:val="center"/>
              <w:rPr>
                <w:rFonts w:ascii="Arial" w:hAnsi="Arial"/>
                <w:color w:val="000000"/>
              </w:rPr>
            </w:pPr>
            <w:r>
              <w:rPr>
                <w:rFonts w:ascii="Arial" w:hAnsi="Arial"/>
                <w:color w:val="000000"/>
              </w:rPr>
            </w:r>
          </w:p>
        </w:tc>
        <w:tc>
          <w:tcPr>
            <w:tcW w:w="1506" w:type="dxa"/>
            <w:tcBorders>
              <w:top w:val="single" w:sz="4" w:space="0" w:color="000000"/>
              <w:left w:val="single" w:sz="4" w:space="0" w:color="000000"/>
              <w:bottom w:val="single" w:sz="18" w:space="0" w:color="000000"/>
              <w:right w:val="single" w:sz="4" w:space="0" w:color="000000"/>
            </w:tcBorders>
            <w:shd w:color="auto" w:fill="auto" w:val="clear"/>
          </w:tcPr>
          <w:p>
            <w:pPr>
              <w:pStyle w:val="TableContents"/>
              <w:widowControl w:val="false"/>
              <w:spacing w:before="60" w:after="0"/>
              <w:jc w:val="center"/>
              <w:rPr>
                <w:rFonts w:ascii="Arial" w:hAnsi="Arial"/>
                <w:color w:val="000000"/>
              </w:rPr>
            </w:pPr>
            <w:r>
              <w:rPr>
                <w:rFonts w:ascii="Arial" w:hAnsi="Arial"/>
                <w:color w:val="000000"/>
              </w:rPr>
            </w:r>
          </w:p>
        </w:tc>
        <w:tc>
          <w:tcPr>
            <w:tcW w:w="6661" w:type="dxa"/>
            <w:tcBorders>
              <w:top w:val="single" w:sz="4" w:space="0" w:color="000000"/>
              <w:left w:val="single" w:sz="4" w:space="0" w:color="000000"/>
              <w:bottom w:val="single" w:sz="18" w:space="0" w:color="000000"/>
              <w:right w:val="single" w:sz="18" w:space="0" w:color="000000"/>
            </w:tcBorders>
            <w:shd w:color="auto" w:fill="auto" w:val="clear"/>
          </w:tcPr>
          <w:p>
            <w:pPr>
              <w:pStyle w:val="TableContents"/>
              <w:widowControl w:val="false"/>
              <w:spacing w:before="60" w:after="0"/>
              <w:rPr>
                <w:rFonts w:ascii="Arial" w:hAnsi="Arial"/>
                <w:color w:val="000000"/>
              </w:rPr>
            </w:pPr>
            <w:r>
              <w:rPr>
                <w:rFonts w:ascii="Arial" w:hAnsi="Arial"/>
                <w:color w:val="000000"/>
              </w:rPr>
            </w:r>
          </w:p>
        </w:tc>
      </w:tr>
    </w:tbl>
    <w:p>
      <w:pPr>
        <w:sectPr>
          <w:headerReference w:type="default" r:id="rId4"/>
          <w:footerReference w:type="default" r:id="rId5"/>
          <w:footnotePr>
            <w:numFmt w:val="decimal"/>
          </w:footnotePr>
          <w:type w:val="nextPage"/>
          <w:pgSz w:w="11906" w:h="16838"/>
          <w:pgMar w:left="1134" w:right="851" w:gutter="0" w:header="567" w:top="624" w:footer="567" w:bottom="624"/>
          <w:pgNumType w:fmt="decimal"/>
          <w:formProt w:val="false"/>
          <w:titlePg/>
          <w:textDirection w:val="lrTb"/>
          <w:docGrid w:type="default" w:linePitch="326" w:charSpace="0"/>
        </w:sectPr>
      </w:pPr>
    </w:p>
    <w:p>
      <w:pPr>
        <w:pStyle w:val="Normal"/>
        <w:spacing w:before="0" w:after="0"/>
        <w:rPr>
          <w:rFonts w:ascii="Arial" w:hAnsi="Arial"/>
          <w:color w:val="000000"/>
          <w:sz w:val="16"/>
          <w:szCs w:val="16"/>
        </w:rPr>
      </w:pPr>
      <w:r>
        <w:rPr>
          <w:rFonts w:ascii="Arial" w:hAnsi="Arial"/>
          <w:color w:val="000000"/>
          <w:sz w:val="16"/>
          <w:szCs w:val="16"/>
        </w:rPr>
      </w:r>
    </w:p>
    <w:tbl>
      <w:tblPr>
        <w:tblStyle w:val="TableGrid"/>
        <w:tblW w:w="9923"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984"/>
        <w:gridCol w:w="6954"/>
        <w:gridCol w:w="285"/>
        <w:gridCol w:w="990"/>
        <w:gridCol w:w="709"/>
      </w:tblGrid>
      <w:tr>
        <w:trPr>
          <w:trHeight w:val="1566" w:hRule="atLeast"/>
        </w:trPr>
        <w:tc>
          <w:tcPr>
            <w:tcW w:w="7938" w:type="dxa"/>
            <w:gridSpan w:val="2"/>
            <w:tcBorders>
              <w:top w:val="nil"/>
              <w:left w:val="nil"/>
              <w:bottom w:val="single" w:sz="18" w:space="0" w:color="000000"/>
              <w:right w:val="nil"/>
            </w:tcBorders>
            <w:vAlign w:val="center"/>
          </w:tcPr>
          <w:p>
            <w:pPr>
              <w:pStyle w:val="Normal"/>
              <w:widowControl w:val="false"/>
              <w:spacing w:lineRule="auto" w:line="204" w:before="0" w:after="0"/>
              <w:jc w:val="center"/>
              <w:rPr>
                <w:rFonts w:ascii="Arial" w:hAnsi="Arial"/>
                <w:color w:val="000000"/>
              </w:rPr>
            </w:pPr>
            <w:r>
              <w:rPr>
                <w:rFonts w:cs="Tahoma" w:ascii="Arial" w:hAnsi="Arial"/>
                <w:b/>
                <w:bCs/>
                <w:color w:val="000000"/>
                <w:sz w:val="56"/>
                <w:szCs w:val="56"/>
                <w:lang w:val="en-GB" w:eastAsia="en-GB" w:bidi="ar-SA"/>
              </w:rPr>
              <w:t>Expenses &amp; Purchases</w:t>
              <w:br/>
              <w:t>Reimbursement Claim</w:t>
            </w:r>
          </w:p>
          <w:p>
            <w:pPr>
              <w:pStyle w:val="Normal"/>
              <w:widowControl w:val="false"/>
              <w:spacing w:lineRule="auto" w:line="204" w:before="0" w:after="0"/>
              <w:jc w:val="center"/>
              <w:rPr>
                <w:rFonts w:ascii="Arial" w:hAnsi="Arial"/>
                <w:color w:val="000000"/>
              </w:rPr>
            </w:pPr>
            <w:r>
              <w:rPr>
                <w:rFonts w:cs="Tahoma" w:ascii="Arial" w:hAnsi="Arial"/>
                <w:b/>
                <w:bCs/>
                <w:i/>
                <w:iCs/>
                <w:color w:val="000000"/>
                <w:lang w:val="en-GB" w:eastAsia="en-GB" w:bidi="ar-SA"/>
              </w:rPr>
              <w:t>Company No: 123456     Charity No: 123456</w:t>
            </w:r>
          </w:p>
        </w:tc>
        <w:tc>
          <w:tcPr>
            <w:tcW w:w="1984" w:type="dxa"/>
            <w:gridSpan w:val="3"/>
            <w:tcBorders>
              <w:top w:val="nil"/>
              <w:left w:val="nil"/>
              <w:bottom w:val="single" w:sz="18" w:space="0" w:color="000000"/>
              <w:right w:val="nil"/>
            </w:tcBorders>
            <w:vAlign w:val="center"/>
          </w:tcPr>
          <w:p>
            <w:pPr>
              <w:pStyle w:val="Normal"/>
              <w:widowControl w:val="false"/>
              <w:spacing w:lineRule="auto" w:line="204" w:before="0" w:after="0"/>
              <w:jc w:val="center"/>
              <w:rPr>
                <w:rFonts w:ascii="Arial" w:hAnsi="Arial"/>
                <w:color w:val="000000"/>
              </w:rPr>
            </w:pPr>
            <w:r>
              <w:rPr>
                <w:rFonts w:ascii="Arial" w:hAnsi="Arial"/>
                <w:color w:val="000000"/>
              </w:rPr>
            </w:r>
          </w:p>
        </w:tc>
      </w:tr>
      <w:tr>
        <w:trPr/>
        <w:tc>
          <w:tcPr>
            <w:tcW w:w="9922" w:type="dxa"/>
            <w:gridSpan w:val="5"/>
            <w:tcBorders>
              <w:top w:val="single" w:sz="18" w:space="0" w:color="000000"/>
              <w:left w:val="single" w:sz="24" w:space="0" w:color="000000"/>
              <w:right w:val="single" w:sz="24" w:space="0" w:color="000000"/>
            </w:tcBorders>
          </w:tcPr>
          <w:p>
            <w:pPr>
              <w:pStyle w:val="Normal"/>
              <w:widowControl w:val="false"/>
              <w:spacing w:before="120" w:after="120"/>
              <w:jc w:val="left"/>
              <w:rPr>
                <w:rFonts w:ascii="Arial" w:hAnsi="Arial"/>
                <w:color w:val="000000"/>
              </w:rPr>
            </w:pPr>
            <w:r>
              <w:rPr>
                <w:rFonts w:cs="" w:ascii="Arial" w:hAnsi="Arial"/>
                <w:b/>
                <w:i/>
                <w:color w:val="000000"/>
                <w:sz w:val="22"/>
                <w:szCs w:val="22"/>
                <w:lang w:val="en-GB" w:eastAsia="en-GB" w:bidi="ar-SA"/>
              </w:rPr>
              <w:t xml:space="preserve">Description:    </w:t>
            </w:r>
          </w:p>
        </w:tc>
      </w:tr>
      <w:tr>
        <w:trPr/>
        <w:tc>
          <w:tcPr>
            <w:tcW w:w="984" w:type="dxa"/>
            <w:tcBorders>
              <w:left w:val="single" w:sz="24" w:space="0" w:color="000000"/>
              <w:bottom w:val="single" w:sz="12" w:space="0" w:color="000000"/>
              <w:right w:val="single" w:sz="24" w:space="0" w:color="000000"/>
            </w:tcBorders>
          </w:tcPr>
          <w:p>
            <w:pPr>
              <w:pStyle w:val="Normal"/>
              <w:widowControl w:val="false"/>
              <w:spacing w:before="120" w:after="120"/>
              <w:jc w:val="center"/>
              <w:rPr>
                <w:rFonts w:ascii="Arial" w:hAnsi="Arial"/>
                <w:color w:val="000000"/>
              </w:rPr>
            </w:pPr>
            <w:r>
              <w:rPr>
                <w:rFonts w:cs="" w:ascii="Arial" w:hAnsi="Arial"/>
                <w:b/>
                <w:i/>
                <w:color w:val="000000"/>
                <w:sz w:val="22"/>
                <w:szCs w:val="22"/>
                <w:lang w:val="en-GB" w:eastAsia="en-GB" w:bidi="ar-SA"/>
              </w:rPr>
              <w:t>Vchr</w:t>
            </w:r>
          </w:p>
        </w:tc>
        <w:tc>
          <w:tcPr>
            <w:tcW w:w="7239" w:type="dxa"/>
            <w:gridSpan w:val="2"/>
            <w:tcBorders>
              <w:left w:val="single" w:sz="24" w:space="0" w:color="000000"/>
              <w:bottom w:val="single" w:sz="12" w:space="0" w:color="000000"/>
              <w:right w:val="single" w:sz="24" w:space="0" w:color="000000"/>
            </w:tcBorders>
          </w:tcPr>
          <w:p>
            <w:pPr>
              <w:pStyle w:val="Normal"/>
              <w:widowControl w:val="false"/>
              <w:spacing w:before="120" w:after="120"/>
              <w:jc w:val="left"/>
              <w:rPr>
                <w:rFonts w:ascii="Arial" w:hAnsi="Arial"/>
                <w:color w:val="000000"/>
              </w:rPr>
            </w:pPr>
            <w:r>
              <w:rPr>
                <w:rFonts w:cs="" w:ascii="Arial" w:hAnsi="Arial"/>
                <w:b/>
                <w:i/>
                <w:color w:val="000000"/>
                <w:sz w:val="22"/>
                <w:szCs w:val="22"/>
                <w:lang w:val="en-GB" w:eastAsia="en-GB" w:bidi="ar-SA"/>
              </w:rPr>
              <w:t>Item</w:t>
            </w:r>
          </w:p>
        </w:tc>
        <w:tc>
          <w:tcPr>
            <w:tcW w:w="1699" w:type="dxa"/>
            <w:gridSpan w:val="2"/>
            <w:tcBorders>
              <w:left w:val="single" w:sz="24" w:space="0" w:color="000000"/>
              <w:bottom w:val="single" w:sz="12" w:space="0" w:color="000000"/>
              <w:right w:val="single" w:sz="24" w:space="0" w:color="000000"/>
            </w:tcBorders>
          </w:tcPr>
          <w:p>
            <w:pPr>
              <w:pStyle w:val="Normal"/>
              <w:widowControl w:val="false"/>
              <w:spacing w:before="120" w:after="120"/>
              <w:jc w:val="center"/>
              <w:rPr>
                <w:rFonts w:ascii="Arial" w:hAnsi="Arial"/>
                <w:color w:val="000000"/>
              </w:rPr>
            </w:pPr>
            <w:r>
              <w:rPr>
                <w:rFonts w:cs="" w:ascii="Arial" w:hAnsi="Arial"/>
                <w:b/>
                <w:i/>
                <w:color w:val="000000"/>
                <w:sz w:val="22"/>
                <w:szCs w:val="22"/>
                <w:lang w:val="en-GB" w:eastAsia="en-GB" w:bidi="ar-SA"/>
              </w:rPr>
              <w:t>Amount</w:t>
            </w:r>
          </w:p>
        </w:tc>
      </w:tr>
      <w:tr>
        <w:trPr/>
        <w:tc>
          <w:tcPr>
            <w:tcW w:w="984" w:type="dxa"/>
            <w:tcBorders>
              <w:top w:val="single" w:sz="12" w:space="0" w:color="000000"/>
              <w:left w:val="single" w:sz="24" w:space="0" w:color="000000"/>
              <w:right w:val="single" w:sz="24" w:space="0" w:color="000000"/>
            </w:tcBorders>
          </w:tcPr>
          <w:p>
            <w:pPr>
              <w:pStyle w:val="Normal"/>
              <w:widowControl w:val="false"/>
              <w:spacing w:before="120" w:after="120"/>
              <w:jc w:val="left"/>
              <w:rPr>
                <w:rFonts w:ascii="Arial" w:hAnsi="Arial" w:cs=""/>
                <w:color w:val="000000"/>
                <w:lang w:val="en-GB" w:eastAsia="en-GB" w:bidi="ar-SA"/>
              </w:rPr>
            </w:pPr>
            <w:r>
              <w:rPr>
                <w:rFonts w:cs="" w:ascii="Arial" w:hAnsi="Arial"/>
                <w:color w:val="000000"/>
                <w:lang w:val="en-GB" w:eastAsia="en-GB" w:bidi="ar-SA"/>
              </w:rPr>
            </w:r>
          </w:p>
        </w:tc>
        <w:tc>
          <w:tcPr>
            <w:tcW w:w="7239" w:type="dxa"/>
            <w:gridSpan w:val="2"/>
            <w:tcBorders>
              <w:top w:val="single" w:sz="12" w:space="0" w:color="000000"/>
              <w:left w:val="single" w:sz="24" w:space="0" w:color="000000"/>
              <w:right w:val="single" w:sz="24" w:space="0" w:color="000000"/>
            </w:tcBorders>
          </w:tcPr>
          <w:p>
            <w:pPr>
              <w:pStyle w:val="Normal"/>
              <w:widowControl w:val="false"/>
              <w:spacing w:before="120" w:after="120"/>
              <w:jc w:val="left"/>
              <w:rPr>
                <w:rFonts w:ascii="Arial" w:hAnsi="Arial" w:cs=""/>
                <w:color w:val="000000"/>
                <w:lang w:val="en-GB" w:eastAsia="en-GB" w:bidi="ar-SA"/>
              </w:rPr>
            </w:pPr>
            <w:r>
              <w:rPr>
                <w:rFonts w:cs="" w:ascii="Arial" w:hAnsi="Arial"/>
                <w:color w:val="000000"/>
                <w:lang w:val="en-GB" w:eastAsia="en-GB" w:bidi="ar-SA"/>
              </w:rPr>
            </w:r>
          </w:p>
        </w:tc>
        <w:tc>
          <w:tcPr>
            <w:tcW w:w="990" w:type="dxa"/>
            <w:tcBorders>
              <w:top w:val="single" w:sz="12" w:space="0" w:color="000000"/>
              <w:left w:val="single" w:sz="24" w:space="0" w:color="000000"/>
              <w:right w:val="dashSmallGap" w:sz="8" w:space="0" w:color="000000"/>
            </w:tcBorders>
          </w:tcPr>
          <w:p>
            <w:pPr>
              <w:pStyle w:val="Normal"/>
              <w:widowControl w:val="false"/>
              <w:spacing w:before="120" w:after="120"/>
              <w:jc w:val="right"/>
              <w:rPr>
                <w:rFonts w:ascii="Arial" w:hAnsi="Arial" w:cs=""/>
                <w:color w:val="000000"/>
                <w:lang w:val="en-GB" w:eastAsia="en-GB" w:bidi="ar-SA"/>
              </w:rPr>
            </w:pPr>
            <w:r>
              <w:rPr>
                <w:rFonts w:cs="" w:ascii="Arial" w:hAnsi="Arial"/>
                <w:color w:val="000000"/>
                <w:lang w:val="en-GB" w:eastAsia="en-GB" w:bidi="ar-SA"/>
              </w:rPr>
            </w:r>
          </w:p>
        </w:tc>
        <w:tc>
          <w:tcPr>
            <w:tcW w:w="709" w:type="dxa"/>
            <w:tcBorders>
              <w:top w:val="single" w:sz="12" w:space="0" w:color="000000"/>
              <w:left w:val="dashSmallGap" w:sz="8" w:space="0" w:color="000000"/>
              <w:right w:val="single" w:sz="24" w:space="0" w:color="000000"/>
            </w:tcBorders>
          </w:tcPr>
          <w:p>
            <w:pPr>
              <w:pStyle w:val="Normal"/>
              <w:widowControl w:val="false"/>
              <w:spacing w:before="120" w:after="120"/>
              <w:jc w:val="left"/>
              <w:rPr>
                <w:rFonts w:ascii="Arial" w:hAnsi="Arial" w:cs=""/>
                <w:color w:val="000000"/>
                <w:lang w:val="en-GB" w:eastAsia="en-GB" w:bidi="ar-SA"/>
              </w:rPr>
            </w:pPr>
            <w:r>
              <w:rPr>
                <w:rFonts w:cs="" w:ascii="Arial" w:hAnsi="Arial"/>
                <w:color w:val="000000"/>
                <w:lang w:val="en-GB" w:eastAsia="en-GB" w:bidi="ar-SA"/>
              </w:rPr>
            </w:r>
          </w:p>
        </w:tc>
      </w:tr>
      <w:tr>
        <w:trPr/>
        <w:tc>
          <w:tcPr>
            <w:tcW w:w="984" w:type="dxa"/>
            <w:tcBorders>
              <w:left w:val="single" w:sz="24" w:space="0" w:color="000000"/>
              <w:right w:val="single" w:sz="24" w:space="0" w:color="000000"/>
            </w:tcBorders>
          </w:tcPr>
          <w:p>
            <w:pPr>
              <w:pStyle w:val="Normal"/>
              <w:widowControl w:val="false"/>
              <w:spacing w:before="120" w:after="120"/>
              <w:jc w:val="left"/>
              <w:rPr>
                <w:rFonts w:ascii="Arial" w:hAnsi="Arial" w:cs=""/>
                <w:color w:val="000000"/>
                <w:lang w:val="en-GB" w:eastAsia="en-GB" w:bidi="ar-SA"/>
              </w:rPr>
            </w:pPr>
            <w:r>
              <w:rPr>
                <w:rFonts w:cs="" w:ascii="Arial" w:hAnsi="Arial"/>
                <w:color w:val="000000"/>
                <w:lang w:val="en-GB" w:eastAsia="en-GB" w:bidi="ar-SA"/>
              </w:rPr>
            </w:r>
          </w:p>
        </w:tc>
        <w:tc>
          <w:tcPr>
            <w:tcW w:w="7239" w:type="dxa"/>
            <w:gridSpan w:val="2"/>
            <w:tcBorders>
              <w:left w:val="single" w:sz="24" w:space="0" w:color="000000"/>
              <w:right w:val="single" w:sz="24" w:space="0" w:color="000000"/>
            </w:tcBorders>
          </w:tcPr>
          <w:p>
            <w:pPr>
              <w:pStyle w:val="Normal"/>
              <w:widowControl w:val="false"/>
              <w:spacing w:before="120" w:after="120"/>
              <w:jc w:val="left"/>
              <w:rPr>
                <w:rFonts w:ascii="Arial" w:hAnsi="Arial" w:cs=""/>
                <w:color w:val="000000"/>
                <w:lang w:val="en-GB" w:eastAsia="en-GB" w:bidi="ar-SA"/>
              </w:rPr>
            </w:pPr>
            <w:r>
              <w:rPr>
                <w:rFonts w:cs="" w:ascii="Arial" w:hAnsi="Arial"/>
                <w:color w:val="000000"/>
                <w:lang w:val="en-GB" w:eastAsia="en-GB" w:bidi="ar-SA"/>
              </w:rPr>
            </w:r>
          </w:p>
        </w:tc>
        <w:tc>
          <w:tcPr>
            <w:tcW w:w="990" w:type="dxa"/>
            <w:tcBorders>
              <w:left w:val="single" w:sz="24" w:space="0" w:color="000000"/>
              <w:right w:val="dashSmallGap" w:sz="8" w:space="0" w:color="000000"/>
            </w:tcBorders>
          </w:tcPr>
          <w:p>
            <w:pPr>
              <w:pStyle w:val="Normal"/>
              <w:widowControl w:val="false"/>
              <w:spacing w:before="120" w:after="120"/>
              <w:jc w:val="right"/>
              <w:rPr>
                <w:rFonts w:ascii="Arial" w:hAnsi="Arial" w:cs=""/>
                <w:color w:val="000000"/>
                <w:lang w:val="en-GB" w:eastAsia="en-GB" w:bidi="ar-SA"/>
              </w:rPr>
            </w:pPr>
            <w:r>
              <w:rPr>
                <w:rFonts w:cs="" w:ascii="Arial" w:hAnsi="Arial"/>
                <w:color w:val="000000"/>
                <w:lang w:val="en-GB" w:eastAsia="en-GB" w:bidi="ar-SA"/>
              </w:rPr>
            </w:r>
          </w:p>
        </w:tc>
        <w:tc>
          <w:tcPr>
            <w:tcW w:w="709" w:type="dxa"/>
            <w:tcBorders>
              <w:left w:val="dashSmallGap" w:sz="8" w:space="0" w:color="000000"/>
              <w:right w:val="single" w:sz="24" w:space="0" w:color="000000"/>
            </w:tcBorders>
          </w:tcPr>
          <w:p>
            <w:pPr>
              <w:pStyle w:val="Normal"/>
              <w:widowControl w:val="false"/>
              <w:spacing w:before="120" w:after="120"/>
              <w:jc w:val="left"/>
              <w:rPr>
                <w:rFonts w:ascii="Arial" w:hAnsi="Arial" w:cs=""/>
                <w:color w:val="000000"/>
                <w:lang w:val="en-GB" w:eastAsia="en-GB" w:bidi="ar-SA"/>
              </w:rPr>
            </w:pPr>
            <w:r>
              <w:rPr>
                <w:rFonts w:cs="" w:ascii="Arial" w:hAnsi="Arial"/>
                <w:color w:val="000000"/>
                <w:lang w:val="en-GB" w:eastAsia="en-GB" w:bidi="ar-SA"/>
              </w:rPr>
            </w:r>
          </w:p>
        </w:tc>
      </w:tr>
      <w:tr>
        <w:trPr/>
        <w:tc>
          <w:tcPr>
            <w:tcW w:w="984" w:type="dxa"/>
            <w:tcBorders>
              <w:left w:val="single" w:sz="24" w:space="0" w:color="000000"/>
              <w:right w:val="single" w:sz="24" w:space="0" w:color="000000"/>
            </w:tcBorders>
          </w:tcPr>
          <w:p>
            <w:pPr>
              <w:pStyle w:val="Normal"/>
              <w:widowControl w:val="false"/>
              <w:spacing w:before="120" w:after="120"/>
              <w:jc w:val="left"/>
              <w:rPr>
                <w:rFonts w:ascii="Arial" w:hAnsi="Arial" w:cs=""/>
                <w:color w:val="000000"/>
                <w:lang w:val="en-GB" w:eastAsia="en-GB" w:bidi="ar-SA"/>
              </w:rPr>
            </w:pPr>
            <w:r>
              <w:rPr>
                <w:rFonts w:cs="" w:ascii="Arial" w:hAnsi="Arial"/>
                <w:color w:val="000000"/>
                <w:lang w:val="en-GB" w:eastAsia="en-GB" w:bidi="ar-SA"/>
              </w:rPr>
            </w:r>
          </w:p>
        </w:tc>
        <w:tc>
          <w:tcPr>
            <w:tcW w:w="7239" w:type="dxa"/>
            <w:gridSpan w:val="2"/>
            <w:tcBorders>
              <w:left w:val="single" w:sz="24" w:space="0" w:color="000000"/>
              <w:right w:val="single" w:sz="24" w:space="0" w:color="000000"/>
            </w:tcBorders>
          </w:tcPr>
          <w:p>
            <w:pPr>
              <w:pStyle w:val="Normal"/>
              <w:widowControl w:val="false"/>
              <w:spacing w:before="120" w:after="120"/>
              <w:jc w:val="left"/>
              <w:rPr>
                <w:rFonts w:ascii="Arial" w:hAnsi="Arial" w:cs=""/>
                <w:color w:val="000000"/>
                <w:lang w:val="en-GB" w:eastAsia="en-GB" w:bidi="ar-SA"/>
              </w:rPr>
            </w:pPr>
            <w:r>
              <w:rPr>
                <w:rFonts w:cs="" w:ascii="Arial" w:hAnsi="Arial"/>
                <w:color w:val="000000"/>
                <w:lang w:val="en-GB" w:eastAsia="en-GB" w:bidi="ar-SA"/>
              </w:rPr>
            </w:r>
          </w:p>
        </w:tc>
        <w:tc>
          <w:tcPr>
            <w:tcW w:w="990" w:type="dxa"/>
            <w:tcBorders>
              <w:left w:val="single" w:sz="24" w:space="0" w:color="000000"/>
              <w:right w:val="dashSmallGap" w:sz="8" w:space="0" w:color="000000"/>
            </w:tcBorders>
          </w:tcPr>
          <w:p>
            <w:pPr>
              <w:pStyle w:val="Normal"/>
              <w:widowControl w:val="false"/>
              <w:spacing w:before="120" w:after="120"/>
              <w:jc w:val="right"/>
              <w:rPr>
                <w:rFonts w:ascii="Arial" w:hAnsi="Arial" w:cs=""/>
                <w:color w:val="000000"/>
                <w:lang w:val="en-GB" w:eastAsia="en-GB" w:bidi="ar-SA"/>
              </w:rPr>
            </w:pPr>
            <w:r>
              <w:rPr>
                <w:rFonts w:cs="" w:ascii="Arial" w:hAnsi="Arial"/>
                <w:color w:val="000000"/>
                <w:lang w:val="en-GB" w:eastAsia="en-GB" w:bidi="ar-SA"/>
              </w:rPr>
            </w:r>
          </w:p>
        </w:tc>
        <w:tc>
          <w:tcPr>
            <w:tcW w:w="709" w:type="dxa"/>
            <w:tcBorders>
              <w:left w:val="dashSmallGap" w:sz="8" w:space="0" w:color="000000"/>
              <w:right w:val="single" w:sz="24" w:space="0" w:color="000000"/>
            </w:tcBorders>
          </w:tcPr>
          <w:p>
            <w:pPr>
              <w:pStyle w:val="Normal"/>
              <w:widowControl w:val="false"/>
              <w:spacing w:before="120" w:after="120"/>
              <w:jc w:val="left"/>
              <w:rPr>
                <w:rFonts w:ascii="Arial" w:hAnsi="Arial" w:cs=""/>
                <w:color w:val="000000"/>
                <w:lang w:val="en-GB" w:eastAsia="en-GB" w:bidi="ar-SA"/>
              </w:rPr>
            </w:pPr>
            <w:r>
              <w:rPr>
                <w:rFonts w:cs="" w:ascii="Arial" w:hAnsi="Arial"/>
                <w:color w:val="000000"/>
                <w:lang w:val="en-GB" w:eastAsia="en-GB" w:bidi="ar-SA"/>
              </w:rPr>
            </w:r>
          </w:p>
        </w:tc>
      </w:tr>
      <w:tr>
        <w:trPr/>
        <w:tc>
          <w:tcPr>
            <w:tcW w:w="984" w:type="dxa"/>
            <w:tcBorders>
              <w:left w:val="single" w:sz="24" w:space="0" w:color="000000"/>
              <w:right w:val="single" w:sz="24" w:space="0" w:color="000000"/>
            </w:tcBorders>
          </w:tcPr>
          <w:p>
            <w:pPr>
              <w:pStyle w:val="Normal"/>
              <w:widowControl w:val="false"/>
              <w:spacing w:before="120" w:after="120"/>
              <w:jc w:val="left"/>
              <w:rPr>
                <w:rFonts w:ascii="Arial" w:hAnsi="Arial" w:cs=""/>
                <w:color w:val="000000"/>
                <w:lang w:val="en-GB" w:eastAsia="en-GB" w:bidi="ar-SA"/>
              </w:rPr>
            </w:pPr>
            <w:r>
              <w:rPr>
                <w:rFonts w:cs="" w:ascii="Arial" w:hAnsi="Arial"/>
                <w:color w:val="000000"/>
                <w:lang w:val="en-GB" w:eastAsia="en-GB" w:bidi="ar-SA"/>
              </w:rPr>
            </w:r>
          </w:p>
        </w:tc>
        <w:tc>
          <w:tcPr>
            <w:tcW w:w="7239" w:type="dxa"/>
            <w:gridSpan w:val="2"/>
            <w:tcBorders>
              <w:left w:val="single" w:sz="24" w:space="0" w:color="000000"/>
              <w:right w:val="single" w:sz="24" w:space="0" w:color="000000"/>
            </w:tcBorders>
          </w:tcPr>
          <w:p>
            <w:pPr>
              <w:pStyle w:val="Normal"/>
              <w:widowControl w:val="false"/>
              <w:spacing w:before="120" w:after="120"/>
              <w:jc w:val="left"/>
              <w:rPr>
                <w:rFonts w:ascii="Arial" w:hAnsi="Arial" w:cs=""/>
                <w:color w:val="000000"/>
                <w:lang w:val="en-GB" w:eastAsia="en-GB" w:bidi="ar-SA"/>
              </w:rPr>
            </w:pPr>
            <w:r>
              <w:rPr>
                <w:rFonts w:cs="" w:ascii="Arial" w:hAnsi="Arial"/>
                <w:color w:val="000000"/>
                <w:lang w:val="en-GB" w:eastAsia="en-GB" w:bidi="ar-SA"/>
              </w:rPr>
            </w:r>
          </w:p>
        </w:tc>
        <w:tc>
          <w:tcPr>
            <w:tcW w:w="990" w:type="dxa"/>
            <w:tcBorders>
              <w:left w:val="single" w:sz="24" w:space="0" w:color="000000"/>
              <w:right w:val="dashSmallGap" w:sz="8" w:space="0" w:color="000000"/>
            </w:tcBorders>
          </w:tcPr>
          <w:p>
            <w:pPr>
              <w:pStyle w:val="Normal"/>
              <w:widowControl w:val="false"/>
              <w:spacing w:before="120" w:after="120"/>
              <w:jc w:val="right"/>
              <w:rPr>
                <w:rFonts w:ascii="Arial" w:hAnsi="Arial" w:cs=""/>
                <w:color w:val="000000"/>
                <w:lang w:val="en-GB" w:eastAsia="en-GB" w:bidi="ar-SA"/>
              </w:rPr>
            </w:pPr>
            <w:r>
              <w:rPr>
                <w:rFonts w:cs="" w:ascii="Arial" w:hAnsi="Arial"/>
                <w:color w:val="000000"/>
                <w:lang w:val="en-GB" w:eastAsia="en-GB" w:bidi="ar-SA"/>
              </w:rPr>
            </w:r>
          </w:p>
        </w:tc>
        <w:tc>
          <w:tcPr>
            <w:tcW w:w="709" w:type="dxa"/>
            <w:tcBorders>
              <w:left w:val="dashSmallGap" w:sz="8" w:space="0" w:color="000000"/>
              <w:right w:val="single" w:sz="24" w:space="0" w:color="000000"/>
            </w:tcBorders>
          </w:tcPr>
          <w:p>
            <w:pPr>
              <w:pStyle w:val="Normal"/>
              <w:widowControl w:val="false"/>
              <w:spacing w:before="120" w:after="120"/>
              <w:jc w:val="left"/>
              <w:rPr>
                <w:rFonts w:ascii="Arial" w:hAnsi="Arial" w:cs=""/>
                <w:color w:val="000000"/>
                <w:lang w:val="en-GB" w:eastAsia="en-GB" w:bidi="ar-SA"/>
              </w:rPr>
            </w:pPr>
            <w:r>
              <w:rPr>
                <w:rFonts w:cs="" w:ascii="Arial" w:hAnsi="Arial"/>
                <w:color w:val="000000"/>
                <w:lang w:val="en-GB" w:eastAsia="en-GB" w:bidi="ar-SA"/>
              </w:rPr>
            </w:r>
          </w:p>
        </w:tc>
      </w:tr>
      <w:tr>
        <w:trPr/>
        <w:tc>
          <w:tcPr>
            <w:tcW w:w="984" w:type="dxa"/>
            <w:tcBorders>
              <w:left w:val="single" w:sz="24" w:space="0" w:color="000000"/>
              <w:right w:val="single" w:sz="24" w:space="0" w:color="000000"/>
            </w:tcBorders>
          </w:tcPr>
          <w:p>
            <w:pPr>
              <w:pStyle w:val="Normal"/>
              <w:widowControl w:val="false"/>
              <w:spacing w:before="120" w:after="120"/>
              <w:jc w:val="left"/>
              <w:rPr>
                <w:rFonts w:ascii="Arial" w:hAnsi="Arial" w:cs=""/>
                <w:color w:val="000000"/>
                <w:lang w:val="en-GB" w:eastAsia="en-GB" w:bidi="ar-SA"/>
              </w:rPr>
            </w:pPr>
            <w:r>
              <w:rPr>
                <w:rFonts w:cs="" w:ascii="Arial" w:hAnsi="Arial"/>
                <w:color w:val="000000"/>
                <w:lang w:val="en-GB" w:eastAsia="en-GB" w:bidi="ar-SA"/>
              </w:rPr>
            </w:r>
          </w:p>
        </w:tc>
        <w:tc>
          <w:tcPr>
            <w:tcW w:w="7239" w:type="dxa"/>
            <w:gridSpan w:val="2"/>
            <w:tcBorders>
              <w:left w:val="single" w:sz="24" w:space="0" w:color="000000"/>
              <w:right w:val="single" w:sz="24" w:space="0" w:color="000000"/>
            </w:tcBorders>
          </w:tcPr>
          <w:p>
            <w:pPr>
              <w:pStyle w:val="Normal"/>
              <w:widowControl w:val="false"/>
              <w:spacing w:before="120" w:after="120"/>
              <w:jc w:val="left"/>
              <w:rPr>
                <w:rFonts w:ascii="Arial" w:hAnsi="Arial" w:cs=""/>
                <w:color w:val="000000"/>
                <w:lang w:val="en-GB" w:eastAsia="en-GB" w:bidi="ar-SA"/>
              </w:rPr>
            </w:pPr>
            <w:r>
              <w:rPr>
                <w:rFonts w:cs="" w:ascii="Arial" w:hAnsi="Arial"/>
                <w:color w:val="000000"/>
                <w:lang w:val="en-GB" w:eastAsia="en-GB" w:bidi="ar-SA"/>
              </w:rPr>
            </w:r>
          </w:p>
        </w:tc>
        <w:tc>
          <w:tcPr>
            <w:tcW w:w="990" w:type="dxa"/>
            <w:tcBorders>
              <w:left w:val="single" w:sz="24" w:space="0" w:color="000000"/>
              <w:right w:val="dashSmallGap" w:sz="8" w:space="0" w:color="000000"/>
            </w:tcBorders>
          </w:tcPr>
          <w:p>
            <w:pPr>
              <w:pStyle w:val="Normal"/>
              <w:widowControl w:val="false"/>
              <w:spacing w:before="120" w:after="120"/>
              <w:jc w:val="right"/>
              <w:rPr>
                <w:rFonts w:ascii="Arial" w:hAnsi="Arial" w:cs=""/>
                <w:color w:val="000000"/>
                <w:lang w:val="en-GB" w:eastAsia="en-GB" w:bidi="ar-SA"/>
              </w:rPr>
            </w:pPr>
            <w:r>
              <w:rPr>
                <w:rFonts w:cs="" w:ascii="Arial" w:hAnsi="Arial"/>
                <w:color w:val="000000"/>
                <w:lang w:val="en-GB" w:eastAsia="en-GB" w:bidi="ar-SA"/>
              </w:rPr>
            </w:r>
          </w:p>
        </w:tc>
        <w:tc>
          <w:tcPr>
            <w:tcW w:w="709" w:type="dxa"/>
            <w:tcBorders>
              <w:left w:val="dashSmallGap" w:sz="8" w:space="0" w:color="000000"/>
              <w:right w:val="single" w:sz="24" w:space="0" w:color="000000"/>
            </w:tcBorders>
          </w:tcPr>
          <w:p>
            <w:pPr>
              <w:pStyle w:val="Normal"/>
              <w:widowControl w:val="false"/>
              <w:spacing w:before="120" w:after="120"/>
              <w:jc w:val="left"/>
              <w:rPr>
                <w:rFonts w:ascii="Arial" w:hAnsi="Arial" w:cs=""/>
                <w:color w:val="000000"/>
                <w:lang w:val="en-GB" w:eastAsia="en-GB" w:bidi="ar-SA"/>
              </w:rPr>
            </w:pPr>
            <w:r>
              <w:rPr>
                <w:rFonts w:cs="" w:ascii="Arial" w:hAnsi="Arial"/>
                <w:color w:val="000000"/>
                <w:lang w:val="en-GB" w:eastAsia="en-GB" w:bidi="ar-SA"/>
              </w:rPr>
            </w:r>
          </w:p>
        </w:tc>
      </w:tr>
      <w:tr>
        <w:trPr/>
        <w:tc>
          <w:tcPr>
            <w:tcW w:w="984" w:type="dxa"/>
            <w:tcBorders>
              <w:left w:val="single" w:sz="24" w:space="0" w:color="000000"/>
              <w:right w:val="single" w:sz="24" w:space="0" w:color="000000"/>
            </w:tcBorders>
          </w:tcPr>
          <w:p>
            <w:pPr>
              <w:pStyle w:val="Normal"/>
              <w:widowControl w:val="false"/>
              <w:spacing w:before="120" w:after="120"/>
              <w:jc w:val="left"/>
              <w:rPr>
                <w:rFonts w:ascii="Arial" w:hAnsi="Arial" w:cs=""/>
                <w:color w:val="000000"/>
                <w:lang w:val="en-GB" w:eastAsia="en-GB" w:bidi="ar-SA"/>
              </w:rPr>
            </w:pPr>
            <w:r>
              <w:rPr>
                <w:rFonts w:cs="" w:ascii="Arial" w:hAnsi="Arial"/>
                <w:color w:val="000000"/>
                <w:lang w:val="en-GB" w:eastAsia="en-GB" w:bidi="ar-SA"/>
              </w:rPr>
            </w:r>
          </w:p>
        </w:tc>
        <w:tc>
          <w:tcPr>
            <w:tcW w:w="7239" w:type="dxa"/>
            <w:gridSpan w:val="2"/>
            <w:tcBorders>
              <w:left w:val="single" w:sz="24" w:space="0" w:color="000000"/>
              <w:right w:val="single" w:sz="24" w:space="0" w:color="000000"/>
            </w:tcBorders>
          </w:tcPr>
          <w:p>
            <w:pPr>
              <w:pStyle w:val="Normal"/>
              <w:widowControl w:val="false"/>
              <w:spacing w:before="120" w:after="120"/>
              <w:jc w:val="left"/>
              <w:rPr>
                <w:rFonts w:ascii="Arial" w:hAnsi="Arial" w:cs=""/>
                <w:color w:val="000000"/>
                <w:lang w:val="en-GB" w:eastAsia="en-GB" w:bidi="ar-SA"/>
              </w:rPr>
            </w:pPr>
            <w:r>
              <w:rPr>
                <w:rFonts w:cs="" w:ascii="Arial" w:hAnsi="Arial"/>
                <w:color w:val="000000"/>
                <w:lang w:val="en-GB" w:eastAsia="en-GB" w:bidi="ar-SA"/>
              </w:rPr>
            </w:r>
          </w:p>
        </w:tc>
        <w:tc>
          <w:tcPr>
            <w:tcW w:w="990" w:type="dxa"/>
            <w:tcBorders>
              <w:left w:val="single" w:sz="24" w:space="0" w:color="000000"/>
              <w:right w:val="dashSmallGap" w:sz="8" w:space="0" w:color="000000"/>
            </w:tcBorders>
          </w:tcPr>
          <w:p>
            <w:pPr>
              <w:pStyle w:val="Normal"/>
              <w:widowControl w:val="false"/>
              <w:spacing w:before="120" w:after="120"/>
              <w:jc w:val="right"/>
              <w:rPr>
                <w:rFonts w:ascii="Arial" w:hAnsi="Arial" w:cs=""/>
                <w:color w:val="000000"/>
                <w:lang w:val="en-GB" w:eastAsia="en-GB" w:bidi="ar-SA"/>
              </w:rPr>
            </w:pPr>
            <w:r>
              <w:rPr>
                <w:rFonts w:cs="" w:ascii="Arial" w:hAnsi="Arial"/>
                <w:color w:val="000000"/>
                <w:lang w:val="en-GB" w:eastAsia="en-GB" w:bidi="ar-SA"/>
              </w:rPr>
            </w:r>
          </w:p>
        </w:tc>
        <w:tc>
          <w:tcPr>
            <w:tcW w:w="709" w:type="dxa"/>
            <w:tcBorders>
              <w:left w:val="dashSmallGap" w:sz="8" w:space="0" w:color="000000"/>
              <w:right w:val="single" w:sz="24" w:space="0" w:color="000000"/>
            </w:tcBorders>
          </w:tcPr>
          <w:p>
            <w:pPr>
              <w:pStyle w:val="Normal"/>
              <w:widowControl w:val="false"/>
              <w:spacing w:before="120" w:after="120"/>
              <w:jc w:val="left"/>
              <w:rPr>
                <w:rFonts w:ascii="Arial" w:hAnsi="Arial" w:cs=""/>
                <w:color w:val="000000"/>
                <w:lang w:val="en-GB" w:eastAsia="en-GB" w:bidi="ar-SA"/>
              </w:rPr>
            </w:pPr>
            <w:r>
              <w:rPr>
                <w:rFonts w:cs="" w:ascii="Arial" w:hAnsi="Arial"/>
                <w:color w:val="000000"/>
                <w:lang w:val="en-GB" w:eastAsia="en-GB" w:bidi="ar-SA"/>
              </w:rPr>
            </w:r>
          </w:p>
        </w:tc>
      </w:tr>
      <w:tr>
        <w:trPr/>
        <w:tc>
          <w:tcPr>
            <w:tcW w:w="984" w:type="dxa"/>
            <w:tcBorders>
              <w:left w:val="single" w:sz="24" w:space="0" w:color="000000"/>
              <w:bottom w:val="single" w:sz="12" w:space="0" w:color="000000"/>
              <w:right w:val="single" w:sz="24" w:space="0" w:color="000000"/>
            </w:tcBorders>
          </w:tcPr>
          <w:p>
            <w:pPr>
              <w:pStyle w:val="Normal"/>
              <w:widowControl w:val="false"/>
              <w:spacing w:before="120" w:after="120"/>
              <w:jc w:val="left"/>
              <w:rPr>
                <w:rFonts w:ascii="Arial" w:hAnsi="Arial" w:cs=""/>
                <w:color w:val="000000"/>
                <w:lang w:val="en-GB" w:eastAsia="en-GB" w:bidi="ar-SA"/>
              </w:rPr>
            </w:pPr>
            <w:r>
              <w:rPr>
                <w:rFonts w:cs="" w:ascii="Arial" w:hAnsi="Arial"/>
                <w:color w:val="000000"/>
                <w:lang w:val="en-GB" w:eastAsia="en-GB" w:bidi="ar-SA"/>
              </w:rPr>
            </w:r>
          </w:p>
        </w:tc>
        <w:tc>
          <w:tcPr>
            <w:tcW w:w="7239" w:type="dxa"/>
            <w:gridSpan w:val="2"/>
            <w:tcBorders>
              <w:left w:val="single" w:sz="24" w:space="0" w:color="000000"/>
              <w:bottom w:val="single" w:sz="12" w:space="0" w:color="000000"/>
              <w:right w:val="single" w:sz="24" w:space="0" w:color="000000"/>
            </w:tcBorders>
          </w:tcPr>
          <w:p>
            <w:pPr>
              <w:pStyle w:val="Normal"/>
              <w:widowControl w:val="false"/>
              <w:spacing w:before="120" w:after="120"/>
              <w:jc w:val="left"/>
              <w:rPr>
                <w:rFonts w:ascii="Arial" w:hAnsi="Arial" w:cs=""/>
                <w:color w:val="000000"/>
                <w:lang w:val="en-GB" w:eastAsia="en-GB" w:bidi="ar-SA"/>
              </w:rPr>
            </w:pPr>
            <w:r>
              <w:rPr>
                <w:rFonts w:cs="" w:ascii="Arial" w:hAnsi="Arial"/>
                <w:color w:val="000000"/>
                <w:lang w:val="en-GB" w:eastAsia="en-GB" w:bidi="ar-SA"/>
              </w:rPr>
            </w:r>
          </w:p>
        </w:tc>
        <w:tc>
          <w:tcPr>
            <w:tcW w:w="990" w:type="dxa"/>
            <w:tcBorders>
              <w:left w:val="single" w:sz="24" w:space="0" w:color="000000"/>
              <w:bottom w:val="single" w:sz="12" w:space="0" w:color="000000"/>
              <w:right w:val="dashSmallGap" w:sz="8" w:space="0" w:color="000000"/>
            </w:tcBorders>
          </w:tcPr>
          <w:p>
            <w:pPr>
              <w:pStyle w:val="Normal"/>
              <w:widowControl w:val="false"/>
              <w:spacing w:before="120" w:after="120"/>
              <w:jc w:val="right"/>
              <w:rPr>
                <w:rFonts w:ascii="Arial" w:hAnsi="Arial" w:cs=""/>
                <w:color w:val="000000"/>
                <w:lang w:val="en-GB" w:eastAsia="en-GB" w:bidi="ar-SA"/>
              </w:rPr>
            </w:pPr>
            <w:r>
              <w:rPr>
                <w:rFonts w:cs="" w:ascii="Arial" w:hAnsi="Arial"/>
                <w:color w:val="000000"/>
                <w:lang w:val="en-GB" w:eastAsia="en-GB" w:bidi="ar-SA"/>
              </w:rPr>
            </w:r>
          </w:p>
        </w:tc>
        <w:tc>
          <w:tcPr>
            <w:tcW w:w="709" w:type="dxa"/>
            <w:tcBorders>
              <w:left w:val="dashSmallGap" w:sz="8" w:space="0" w:color="000000"/>
              <w:bottom w:val="single" w:sz="12" w:space="0" w:color="000000"/>
              <w:right w:val="single" w:sz="24" w:space="0" w:color="000000"/>
            </w:tcBorders>
          </w:tcPr>
          <w:p>
            <w:pPr>
              <w:pStyle w:val="Normal"/>
              <w:widowControl w:val="false"/>
              <w:spacing w:before="120" w:after="120"/>
              <w:jc w:val="left"/>
              <w:rPr>
                <w:rFonts w:ascii="Arial" w:hAnsi="Arial" w:cs=""/>
                <w:color w:val="000000"/>
                <w:lang w:val="en-GB" w:eastAsia="en-GB" w:bidi="ar-SA"/>
              </w:rPr>
            </w:pPr>
            <w:r>
              <w:rPr>
                <w:rFonts w:cs="" w:ascii="Arial" w:hAnsi="Arial"/>
                <w:color w:val="000000"/>
                <w:lang w:val="en-GB" w:eastAsia="en-GB" w:bidi="ar-SA"/>
              </w:rPr>
            </w:r>
          </w:p>
        </w:tc>
      </w:tr>
      <w:tr>
        <w:trPr/>
        <w:tc>
          <w:tcPr>
            <w:tcW w:w="984" w:type="dxa"/>
            <w:tcBorders>
              <w:top w:val="single" w:sz="12" w:space="0" w:color="000000"/>
              <w:left w:val="single" w:sz="24" w:space="0" w:color="000000"/>
              <w:bottom w:val="single" w:sz="24" w:space="0" w:color="000000"/>
              <w:right w:val="nil"/>
            </w:tcBorders>
          </w:tcPr>
          <w:p>
            <w:pPr>
              <w:pStyle w:val="Normal"/>
              <w:widowControl w:val="false"/>
              <w:spacing w:before="120" w:after="120"/>
              <w:jc w:val="left"/>
              <w:rPr>
                <w:rFonts w:ascii="Arial" w:hAnsi="Arial" w:cs=""/>
                <w:color w:val="000000"/>
                <w:lang w:val="en-GB" w:eastAsia="en-GB" w:bidi="ar-SA"/>
              </w:rPr>
            </w:pPr>
            <w:r>
              <w:rPr>
                <w:rFonts w:cs="" w:ascii="Arial" w:hAnsi="Arial"/>
                <w:color w:val="000000"/>
                <w:lang w:val="en-GB" w:eastAsia="en-GB" w:bidi="ar-SA"/>
              </w:rPr>
            </w:r>
          </w:p>
        </w:tc>
        <w:tc>
          <w:tcPr>
            <w:tcW w:w="7239" w:type="dxa"/>
            <w:gridSpan w:val="2"/>
            <w:tcBorders>
              <w:top w:val="single" w:sz="12" w:space="0" w:color="000000"/>
              <w:left w:val="nil"/>
              <w:bottom w:val="single" w:sz="24" w:space="0" w:color="000000"/>
              <w:right w:val="single" w:sz="24" w:space="0" w:color="000000"/>
            </w:tcBorders>
          </w:tcPr>
          <w:p>
            <w:pPr>
              <w:pStyle w:val="Normal"/>
              <w:widowControl w:val="false"/>
              <w:spacing w:before="120" w:after="120"/>
              <w:ind w:right="459" w:hanging="0"/>
              <w:jc w:val="right"/>
              <w:rPr>
                <w:rFonts w:ascii="Arial" w:hAnsi="Arial"/>
                <w:color w:val="000000"/>
              </w:rPr>
            </w:pPr>
            <w:r>
              <w:rPr>
                <w:rFonts w:cs="" w:ascii="Arial" w:hAnsi="Arial"/>
                <w:b/>
                <w:color w:val="000000"/>
                <w:lang w:val="en-GB" w:eastAsia="en-GB" w:bidi="ar-SA"/>
              </w:rPr>
              <w:t>Total Reimbursement Claimed</w:t>
            </w:r>
          </w:p>
        </w:tc>
        <w:tc>
          <w:tcPr>
            <w:tcW w:w="990" w:type="dxa"/>
            <w:tcBorders>
              <w:top w:val="single" w:sz="12" w:space="0" w:color="000000"/>
              <w:left w:val="single" w:sz="24" w:space="0" w:color="000000"/>
              <w:bottom w:val="single" w:sz="24" w:space="0" w:color="000000"/>
              <w:right w:val="dashSmallGap" w:sz="8" w:space="0" w:color="000000"/>
            </w:tcBorders>
          </w:tcPr>
          <w:p>
            <w:pPr>
              <w:pStyle w:val="Normal"/>
              <w:widowControl w:val="false"/>
              <w:spacing w:before="120" w:after="120"/>
              <w:jc w:val="right"/>
              <w:rPr>
                <w:rFonts w:ascii="Arial" w:hAnsi="Arial" w:cs=""/>
                <w:color w:val="000000"/>
                <w:lang w:val="en-GB" w:eastAsia="en-GB" w:bidi="ar-SA"/>
              </w:rPr>
            </w:pPr>
            <w:r>
              <w:rPr>
                <w:rFonts w:cs="" w:ascii="Arial" w:hAnsi="Arial"/>
                <w:color w:val="000000"/>
                <w:lang w:val="en-GB" w:eastAsia="en-GB" w:bidi="ar-SA"/>
              </w:rPr>
            </w:r>
          </w:p>
        </w:tc>
        <w:tc>
          <w:tcPr>
            <w:tcW w:w="709" w:type="dxa"/>
            <w:tcBorders>
              <w:top w:val="single" w:sz="12" w:space="0" w:color="000000"/>
              <w:left w:val="dashSmallGap" w:sz="8" w:space="0" w:color="000000"/>
              <w:bottom w:val="single" w:sz="24" w:space="0" w:color="000000"/>
              <w:right w:val="single" w:sz="24" w:space="0" w:color="000000"/>
            </w:tcBorders>
          </w:tcPr>
          <w:p>
            <w:pPr>
              <w:pStyle w:val="Normal"/>
              <w:widowControl w:val="false"/>
              <w:spacing w:before="120" w:after="120"/>
              <w:jc w:val="left"/>
              <w:rPr>
                <w:rFonts w:ascii="Arial" w:hAnsi="Arial" w:cs=""/>
                <w:color w:val="000000"/>
                <w:lang w:val="en-GB" w:eastAsia="en-GB" w:bidi="ar-SA"/>
              </w:rPr>
            </w:pPr>
            <w:r>
              <w:rPr>
                <w:rFonts w:cs="" w:ascii="Arial" w:hAnsi="Arial"/>
                <w:color w:val="000000"/>
                <w:lang w:val="en-GB" w:eastAsia="en-GB" w:bidi="ar-SA"/>
              </w:rPr>
            </w:r>
          </w:p>
        </w:tc>
      </w:tr>
    </w:tbl>
    <w:p>
      <w:pPr>
        <w:pStyle w:val="Normal"/>
        <w:spacing w:before="120" w:after="0"/>
        <w:rPr>
          <w:rFonts w:ascii="Arial" w:hAnsi="Arial"/>
          <w:color w:val="000000"/>
        </w:rPr>
      </w:pPr>
      <w:r>
        <w:rPr>
          <w:rFonts w:ascii="Arial" w:hAnsi="Arial"/>
          <w:color w:val="000000"/>
        </w:rPr>
        <w:t>I claim reimbursement of the above out-of-pocket expenses and/or purchases which were actually, necessarily, reasonably and incidentally incurred by me in promoting the purposes of the Charity.</w:t>
      </w:r>
    </w:p>
    <w:p>
      <w:pPr>
        <w:pStyle w:val="Normal"/>
        <w:spacing w:before="120" w:after="0"/>
        <w:rPr>
          <w:rFonts w:ascii="Arial" w:hAnsi="Arial"/>
          <w:color w:val="000000"/>
        </w:rPr>
      </w:pPr>
      <w:r>
        <w:rPr>
          <w:rFonts w:ascii="Arial" w:hAnsi="Arial"/>
          <w:color w:val="000000"/>
        </w:rPr>
        <w:t>Once approved I would like the reimbursement to be:</w:t>
      </w:r>
    </w:p>
    <w:p>
      <w:pPr>
        <w:pStyle w:val="ListParagraph"/>
        <w:numPr>
          <w:ilvl w:val="0"/>
          <w:numId w:val="7"/>
        </w:numPr>
        <w:tabs>
          <w:tab w:val="clear" w:pos="567"/>
          <w:tab w:val="right" w:pos="9781" w:leader="none"/>
        </w:tabs>
        <w:spacing w:before="40" w:after="0"/>
        <w:ind w:left="709" w:hanging="425"/>
        <w:contextualSpacing w:val="false"/>
        <w:rPr>
          <w:rFonts w:ascii="Arial" w:hAnsi="Arial"/>
          <w:color w:val="000000"/>
        </w:rPr>
      </w:pPr>
      <w:r>
        <w:rPr>
          <w:rFonts w:ascii="Arial" w:hAnsi="Arial"/>
          <w:color w:val="000000"/>
        </w:rPr>
        <w:t>made immediately</w:t>
        <w:tab/>
      </w:r>
      <w:r>
        <w:rPr>
          <w:rFonts w:ascii="Arial" w:hAnsi="Arial"/>
          <w:i/>
          <w:color w:val="000000"/>
        </w:rPr>
        <w:t>(tick as appropriate – see Policies &amp; Procedures for more details)</w:t>
      </w:r>
    </w:p>
    <w:p>
      <w:pPr>
        <w:pStyle w:val="ListParagraph"/>
        <w:numPr>
          <w:ilvl w:val="0"/>
          <w:numId w:val="7"/>
        </w:numPr>
        <w:tabs>
          <w:tab w:val="clear" w:pos="567"/>
          <w:tab w:val="right" w:pos="9923" w:leader="none"/>
        </w:tabs>
        <w:spacing w:before="40" w:after="0"/>
        <w:ind w:left="709" w:hanging="425"/>
        <w:contextualSpacing w:val="false"/>
        <w:rPr>
          <w:rFonts w:ascii="Arial" w:hAnsi="Arial"/>
          <w:color w:val="000000"/>
        </w:rPr>
      </w:pPr>
      <w:r>
        <w:rPr>
          <w:rFonts w:ascii="Arial" w:hAnsi="Arial"/>
          <w:color w:val="000000"/>
        </w:rPr>
        <w:t>deferred until the end of the Charity’s financial year</w:t>
      </w:r>
    </w:p>
    <w:p>
      <w:pPr>
        <w:pStyle w:val="Normal"/>
        <w:spacing w:before="80" w:after="40"/>
        <w:rPr>
          <w:rFonts w:ascii="Arial" w:hAnsi="Arial"/>
          <w:color w:val="000000"/>
        </w:rPr>
      </w:pPr>
      <w:r>
        <w:rPr>
          <w:rFonts w:ascii="Arial" w:hAnsi="Arial"/>
          <w:color w:val="000000"/>
        </w:rPr>
        <w:t xml:space="preserve">Please make the reimbursement by:   </w:t>
      </w:r>
      <w:r>
        <w:rPr>
          <w:rFonts w:eastAsia="Webdings" w:cs="Webdings" w:ascii="Arial" w:hAnsi="Arial"/>
          <w:b/>
          <w:color w:val="000000"/>
        </w:rPr>
        <w:t></w:t>
      </w:r>
      <w:r>
        <w:rPr>
          <w:rFonts w:ascii="Arial" w:hAnsi="Arial"/>
          <w:color w:val="000000"/>
        </w:rPr>
        <w:t xml:space="preserve"> cash</w:t>
      </w:r>
      <w:r>
        <w:rPr>
          <w:rFonts w:ascii="Arial" w:hAnsi="Arial"/>
          <w:i/>
          <w:color w:val="000000"/>
        </w:rPr>
        <w:t xml:space="preserve"> (less than £20 only)</w:t>
      </w:r>
      <w:r>
        <w:rPr>
          <w:rFonts w:ascii="Arial" w:hAnsi="Arial"/>
          <w:color w:val="000000"/>
        </w:rPr>
        <w:t xml:space="preserve">,   </w:t>
      </w:r>
      <w:r>
        <w:rPr>
          <w:rFonts w:eastAsia="Webdings" w:cs="Webdings" w:ascii="Arial" w:hAnsi="Arial"/>
          <w:b/>
          <w:color w:val="000000"/>
        </w:rPr>
        <w:t></w:t>
      </w:r>
      <w:r>
        <w:rPr>
          <w:rFonts w:ascii="Arial" w:hAnsi="Arial"/>
          <w:color w:val="000000"/>
        </w:rPr>
        <w:t xml:space="preserve"> cheque,   </w:t>
      </w:r>
      <w:r>
        <w:rPr>
          <w:rFonts w:eastAsia="Webdings" w:cs="Webdings" w:ascii="Arial" w:hAnsi="Arial"/>
          <w:b/>
          <w:color w:val="000000"/>
        </w:rPr>
        <w:t></w:t>
      </w:r>
      <w:r>
        <w:rPr>
          <w:rFonts w:ascii="Arial" w:hAnsi="Arial"/>
          <w:color w:val="000000"/>
        </w:rPr>
        <w:t xml:space="preserve"> BACS</w:t>
      </w:r>
      <w:r>
        <w:rPr>
          <w:rFonts w:ascii="Arial" w:hAnsi="Arial"/>
          <w:i/>
          <w:color w:val="000000"/>
        </w:rPr>
        <w:t xml:space="preserve"> (on-line)</w:t>
      </w:r>
    </w:p>
    <w:tbl>
      <w:tblPr>
        <w:tblStyle w:val="TableGrid"/>
        <w:tblW w:w="881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848"/>
        <w:gridCol w:w="793"/>
        <w:gridCol w:w="290"/>
        <w:gridCol w:w="794"/>
        <w:gridCol w:w="292"/>
        <w:gridCol w:w="792"/>
      </w:tblGrid>
      <w:tr>
        <w:trPr/>
        <w:tc>
          <w:tcPr>
            <w:tcW w:w="5848" w:type="dxa"/>
            <w:tcBorders>
              <w:top w:val="nil"/>
              <w:left w:val="nil"/>
              <w:bottom w:val="nil"/>
            </w:tcBorders>
          </w:tcPr>
          <w:p>
            <w:pPr>
              <w:pStyle w:val="Normal"/>
              <w:widowControl w:val="false"/>
              <w:spacing w:before="40" w:after="40"/>
              <w:jc w:val="right"/>
              <w:rPr>
                <w:rFonts w:ascii="Arial" w:hAnsi="Arial"/>
                <w:color w:val="000000"/>
              </w:rPr>
            </w:pPr>
            <w:r>
              <w:rPr>
                <w:rFonts w:cs="" w:ascii="Arial" w:hAnsi="Arial"/>
                <w:color w:val="000000"/>
                <w:lang w:val="en-GB" w:eastAsia="en-GB" w:bidi="ar-SA"/>
              </w:rPr>
              <w:t>For reimbursement by BACS my bank sort-code is:  </w:t>
            </w:r>
          </w:p>
        </w:tc>
        <w:tc>
          <w:tcPr>
            <w:tcW w:w="793" w:type="dxa"/>
            <w:tcBorders/>
          </w:tcPr>
          <w:p>
            <w:pPr>
              <w:pStyle w:val="Normal"/>
              <w:widowControl w:val="false"/>
              <w:spacing w:before="40" w:after="40"/>
              <w:jc w:val="left"/>
              <w:rPr>
                <w:rFonts w:ascii="Arial" w:hAnsi="Arial" w:cs=""/>
                <w:color w:val="000000"/>
                <w:lang w:val="en-GB" w:eastAsia="en-GB" w:bidi="ar-SA"/>
              </w:rPr>
            </w:pPr>
            <w:r>
              <w:rPr>
                <w:rFonts w:cs="" w:ascii="Arial" w:hAnsi="Arial"/>
                <w:color w:val="000000"/>
                <w:lang w:val="en-GB" w:eastAsia="en-GB" w:bidi="ar-SA"/>
              </w:rPr>
            </w:r>
          </w:p>
        </w:tc>
        <w:tc>
          <w:tcPr>
            <w:tcW w:w="290" w:type="dxa"/>
            <w:tcBorders>
              <w:top w:val="nil"/>
              <w:bottom w:val="nil"/>
            </w:tcBorders>
          </w:tcPr>
          <w:p>
            <w:pPr>
              <w:pStyle w:val="Normal"/>
              <w:widowControl w:val="false"/>
              <w:spacing w:before="40" w:after="40"/>
              <w:jc w:val="left"/>
              <w:rPr>
                <w:rFonts w:ascii="Arial" w:hAnsi="Arial"/>
                <w:color w:val="000000"/>
              </w:rPr>
            </w:pPr>
            <w:r>
              <w:rPr>
                <w:rFonts w:cs="" w:ascii="Arial" w:hAnsi="Arial"/>
                <w:color w:val="000000"/>
                <w:lang w:val="en-GB" w:eastAsia="en-GB" w:bidi="ar-SA"/>
              </w:rPr>
              <w:t>-</w:t>
            </w:r>
          </w:p>
        </w:tc>
        <w:tc>
          <w:tcPr>
            <w:tcW w:w="794" w:type="dxa"/>
            <w:tcBorders/>
          </w:tcPr>
          <w:p>
            <w:pPr>
              <w:pStyle w:val="Normal"/>
              <w:widowControl w:val="false"/>
              <w:spacing w:before="40" w:after="40"/>
              <w:jc w:val="left"/>
              <w:rPr>
                <w:rFonts w:ascii="Arial" w:hAnsi="Arial" w:cs=""/>
                <w:color w:val="000000"/>
                <w:lang w:val="en-GB" w:eastAsia="en-GB" w:bidi="ar-SA"/>
              </w:rPr>
            </w:pPr>
            <w:r>
              <w:rPr>
                <w:rFonts w:cs="" w:ascii="Arial" w:hAnsi="Arial"/>
                <w:color w:val="000000"/>
                <w:lang w:val="en-GB" w:eastAsia="en-GB" w:bidi="ar-SA"/>
              </w:rPr>
            </w:r>
          </w:p>
        </w:tc>
        <w:tc>
          <w:tcPr>
            <w:tcW w:w="292" w:type="dxa"/>
            <w:tcBorders>
              <w:top w:val="nil"/>
              <w:bottom w:val="nil"/>
            </w:tcBorders>
          </w:tcPr>
          <w:p>
            <w:pPr>
              <w:pStyle w:val="Normal"/>
              <w:widowControl w:val="false"/>
              <w:spacing w:before="40" w:after="40"/>
              <w:jc w:val="left"/>
              <w:rPr>
                <w:rFonts w:ascii="Arial" w:hAnsi="Arial"/>
                <w:color w:val="000000"/>
              </w:rPr>
            </w:pPr>
            <w:r>
              <w:rPr>
                <w:rFonts w:cs="" w:ascii="Arial" w:hAnsi="Arial"/>
                <w:color w:val="000000"/>
                <w:lang w:val="en-GB" w:eastAsia="en-GB" w:bidi="ar-SA"/>
              </w:rPr>
              <w:t>-</w:t>
            </w:r>
          </w:p>
        </w:tc>
        <w:tc>
          <w:tcPr>
            <w:tcW w:w="792" w:type="dxa"/>
            <w:tcBorders/>
          </w:tcPr>
          <w:p>
            <w:pPr>
              <w:pStyle w:val="Normal"/>
              <w:widowControl w:val="false"/>
              <w:spacing w:before="40" w:after="40"/>
              <w:jc w:val="left"/>
              <w:rPr>
                <w:rFonts w:ascii="Arial" w:hAnsi="Arial" w:cs=""/>
                <w:color w:val="000000"/>
                <w:lang w:val="en-GB" w:eastAsia="en-GB" w:bidi="ar-SA"/>
              </w:rPr>
            </w:pPr>
            <w:r>
              <w:rPr>
                <w:rFonts w:cs="" w:ascii="Arial" w:hAnsi="Arial"/>
                <w:color w:val="000000"/>
                <w:lang w:val="en-GB" w:eastAsia="en-GB" w:bidi="ar-SA"/>
              </w:rPr>
            </w:r>
          </w:p>
        </w:tc>
      </w:tr>
      <w:tr>
        <w:trPr/>
        <w:tc>
          <w:tcPr>
            <w:tcW w:w="5848" w:type="dxa"/>
            <w:tcBorders>
              <w:top w:val="nil"/>
              <w:left w:val="nil"/>
              <w:bottom w:val="nil"/>
            </w:tcBorders>
          </w:tcPr>
          <w:p>
            <w:pPr>
              <w:pStyle w:val="Normal"/>
              <w:widowControl w:val="false"/>
              <w:spacing w:before="40" w:after="40"/>
              <w:jc w:val="right"/>
              <w:rPr>
                <w:rFonts w:ascii="Arial" w:hAnsi="Arial"/>
                <w:color w:val="000000"/>
              </w:rPr>
            </w:pPr>
            <w:r>
              <w:rPr>
                <w:rFonts w:cs="" w:ascii="Arial" w:hAnsi="Arial"/>
                <w:color w:val="000000"/>
                <w:lang w:val="en-GB" w:eastAsia="en-GB" w:bidi="ar-SA"/>
              </w:rPr>
              <w:t>And my 8-digit account number is:  </w:t>
            </w:r>
          </w:p>
        </w:tc>
        <w:tc>
          <w:tcPr>
            <w:tcW w:w="2961" w:type="dxa"/>
            <w:gridSpan w:val="5"/>
            <w:tcBorders/>
          </w:tcPr>
          <w:p>
            <w:pPr>
              <w:pStyle w:val="Normal"/>
              <w:widowControl w:val="false"/>
              <w:spacing w:before="40" w:after="40"/>
              <w:jc w:val="left"/>
              <w:rPr>
                <w:rFonts w:ascii="Arial" w:hAnsi="Arial" w:cs=""/>
                <w:color w:val="000000"/>
                <w:lang w:val="en-GB" w:eastAsia="en-GB" w:bidi="ar-SA"/>
              </w:rPr>
            </w:pPr>
            <w:r>
              <w:rPr>
                <w:rFonts w:cs="" w:ascii="Arial" w:hAnsi="Arial"/>
                <w:color w:val="000000"/>
                <w:lang w:val="en-GB" w:eastAsia="en-GB" w:bidi="ar-SA"/>
              </w:rPr>
            </w:r>
          </w:p>
        </w:tc>
      </w:tr>
    </w:tbl>
    <w:p>
      <w:pPr>
        <w:pStyle w:val="Normal"/>
        <w:tabs>
          <w:tab w:val="clear" w:pos="567"/>
          <w:tab w:val="right" w:pos="851" w:leader="none"/>
          <w:tab w:val="right" w:pos="4820" w:leader="dot"/>
          <w:tab w:val="right" w:pos="6521" w:leader="none"/>
          <w:tab w:val="right" w:pos="9923" w:leader="dot"/>
        </w:tabs>
        <w:spacing w:before="600" w:after="0"/>
        <w:rPr/>
      </w:pPr>
      <w:r>
        <w:rPr>
          <w:rFonts w:ascii="Arial" w:hAnsi="Arial"/>
          <w:color w:val="000000"/>
        </w:rPr>
        <w:tab/>
        <w:t>Name: </w:t>
        <w:tab/>
      </w:r>
      <w:r>
        <w:rPr>
          <w:rFonts w:ascii="Arial" w:hAnsi="Arial"/>
          <w:i/>
          <w:color w:val="000000"/>
        </w:rPr>
        <w:t>(Print)</w:t>
      </w:r>
      <w:r>
        <w:rPr>
          <w:rFonts w:ascii="Arial" w:hAnsi="Arial"/>
          <w:color w:val="000000"/>
        </w:rPr>
        <w:tab/>
        <w:t>Approved: </w:t>
        <w:tab/>
      </w:r>
      <w:r>
        <w:rPr>
          <w:rFonts w:ascii="Arial" w:hAnsi="Arial"/>
          <w:i/>
          <w:color w:val="000000"/>
        </w:rPr>
        <w:t>(Print)</w:t>
      </w:r>
      <w:r>
        <w:rPr>
          <w:rFonts w:ascii="Arial" w:hAnsi="Arial"/>
          <w:color w:val="000000"/>
        </w:rPr>
        <w:br/>
        <w:br/>
        <w:tab/>
        <w:t>Signed: </w:t>
        <w:tab/>
        <w:tab/>
        <w:t>Signed: </w:t>
        <w:tab/>
        <w:br/>
        <w:br/>
        <w:tab/>
        <w:t>Date: </w:t>
        <w:tab/>
        <w:tab/>
        <w:t>Date: </w:t>
        <w:tab/>
      </w:r>
      <w:r>
        <w:rPr/>
        <w:tab/>
      </w:r>
    </w:p>
    <w:p>
      <w:pPr>
        <w:pStyle w:val="Normal"/>
        <w:tabs>
          <w:tab w:val="clear" w:pos="567"/>
          <w:tab w:val="right" w:pos="851" w:leader="none"/>
          <w:tab w:val="right" w:pos="4820" w:leader="dot"/>
          <w:tab w:val="right" w:pos="6521" w:leader="none"/>
          <w:tab w:val="right" w:pos="9923" w:leader="dot"/>
        </w:tabs>
        <w:spacing w:before="600" w:after="0"/>
        <w:rPr/>
      </w:pPr>
      <w:r>
        <w:rPr/>
      </w:r>
    </w:p>
    <w:p>
      <w:pPr>
        <w:pStyle w:val="Normal"/>
        <w:jc w:val="center"/>
        <w:rPr>
          <w:rFonts w:ascii="Arial" w:hAnsi="Arial"/>
          <w:b/>
          <w:b/>
          <w:color w:val="000000"/>
          <w:sz w:val="12"/>
          <w:szCs w:val="12"/>
        </w:rPr>
      </w:pPr>
      <w:r>
        <w:rPr>
          <w:rFonts w:ascii="Arial" w:hAnsi="Arial"/>
          <w:b/>
          <w:color w:val="000000"/>
          <w:sz w:val="12"/>
          <w:szCs w:val="12"/>
        </w:rPr>
        <w:t>© 2021  Small Charity Support</w:t>
      </w:r>
    </w:p>
    <w:p>
      <w:pPr>
        <w:pStyle w:val="Normal"/>
        <w:jc w:val="center"/>
        <w:rPr>
          <w:rFonts w:ascii="Arial" w:hAnsi="Arial"/>
          <w:color w:val="000000"/>
          <w:sz w:val="12"/>
          <w:szCs w:val="12"/>
        </w:rPr>
      </w:pPr>
      <w:r>
        <w:rPr>
          <w:rFonts w:ascii="Arial" w:hAnsi="Arial"/>
          <w:bCs/>
          <w:color w:val="000000"/>
          <w:sz w:val="12"/>
          <w:szCs w:val="12"/>
        </w:rPr>
        <w:t>This leaflet is made available to charities and not-for-profit organisations under a</w:t>
        <w:br/>
        <w:t xml:space="preserve">Creative Commons  </w:t>
      </w:r>
      <w:r>
        <w:rPr>
          <w:rFonts w:ascii="Arial" w:hAnsi="Arial"/>
          <w:b/>
          <w:color w:val="000000"/>
          <w:sz w:val="12"/>
          <w:szCs w:val="12"/>
        </w:rPr>
        <w:t>Attributable – Non Commercial – Share Alike</w:t>
      </w:r>
      <w:r>
        <w:rPr>
          <w:rFonts w:ascii="Arial" w:hAnsi="Arial"/>
          <w:bCs/>
          <w:color w:val="000000"/>
          <w:sz w:val="12"/>
          <w:szCs w:val="12"/>
        </w:rPr>
        <w:t xml:space="preserve">  International 4.0 License</w:t>
      </w:r>
    </w:p>
    <w:p>
      <w:pPr>
        <w:pStyle w:val="Normal"/>
        <w:jc w:val="center"/>
        <w:rPr>
          <w:rFonts w:ascii="Arial" w:hAnsi="Arial"/>
          <w:b w:val="false"/>
          <w:b w:val="false"/>
          <w:bCs w:val="false"/>
          <w:color w:val="000000"/>
          <w:sz w:val="12"/>
          <w:szCs w:val="12"/>
        </w:rPr>
      </w:pPr>
      <w:r>
        <w:rPr>
          <w:rFonts w:cs="Tahoma" w:ascii="Arial" w:hAnsi="Arial"/>
          <w:b w:val="false"/>
          <w:bCs w:val="false"/>
          <w:color w:val="000000"/>
          <w:sz w:val="12"/>
          <w:szCs w:val="12"/>
        </w:rPr>
        <w:t>That license lets you remix, adapt, and build upon this material non-commercially, as long as you credit Small Charity Support and license your new creations under the identical terms.</w:t>
      </w:r>
    </w:p>
    <w:sectPr>
      <w:headerReference w:type="default" r:id="rId6"/>
      <w:footerReference w:type="default" r:id="rId7"/>
      <w:footnotePr>
        <w:numFmt w:val="decimal"/>
      </w:footnotePr>
      <w:type w:val="nextPage"/>
      <w:pgSz w:w="11906" w:h="16838"/>
      <w:pgMar w:left="1134" w:right="851" w:gutter="0" w:header="567" w:top="624" w:footer="567" w:bottom="624"/>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Trebuchet MS">
    <w:charset w:val="00"/>
    <w:family w:val="roman"/>
    <w:pitch w:val="variable"/>
  </w:font>
  <w:font w:name="Arial">
    <w:charset w:val="00"/>
    <w:family w:val="roman"/>
    <w:pitch w:val="variable"/>
  </w:font>
  <w:font w:name="Dax-Medium">
    <w:charset w:val="00"/>
    <w:family w:val="roman"/>
    <w:pitch w:val="variable"/>
  </w:font>
  <w:font w:name="Arial">
    <w:charset w:val="01"/>
    <w:family w:val="swiss"/>
    <w:pitch w:val="variable"/>
  </w:font>
  <w:font w:name="Wingdings">
    <w:charset w:val="02"/>
    <w:family w:val="auto"/>
    <w:pitch w:val="variable"/>
  </w:font>
  <w:font w:name="Symbol">
    <w:charset w:val="02"/>
    <w:family w:val="auto"/>
    <w:pitch w:val="default"/>
  </w:font>
  <w:font w:name="Courier New">
    <w:charset w:val="01"/>
    <w:family w:val="modern"/>
    <w:pitch w:val="fixed"/>
  </w:font>
  <w:font w:name="Web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spacing w:before="80" w:after="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spacing w:before="80" w:after="0"/>
      <w:jc w:val="cen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spacing w:before="80" w:after="80"/>
        <w:ind w:left="284" w:hanging="284"/>
        <w:rPr>
          <w:i/>
          <w:i/>
          <w:iCs/>
        </w:rPr>
      </w:pPr>
      <w:r>
        <w:rPr>
          <w:rStyle w:val="FootnoteCharacters"/>
        </w:rPr>
        <w:footnoteRef/>
      </w:r>
      <w:r>
        <w:rPr>
          <w:b/>
          <w:bCs/>
          <w:i/>
          <w:iCs/>
        </w:rPr>
        <w:tab/>
        <w:t xml:space="preserve"> </w:t>
      </w:r>
      <w:r>
        <w:rPr>
          <w:b/>
          <w:bCs/>
          <w:i/>
          <w:iCs/>
        </w:rPr>
        <w:t>This footnote should be deleted in your charity’s own internal policy document</w:t>
      </w:r>
      <w:r>
        <w:rPr>
          <w:b/>
          <w:bCs/>
          <w:i/>
          <w:iCs/>
          <w:sz w:val="16"/>
          <w:szCs w:val="16"/>
        </w:rPr>
        <w:t>.</w:t>
        <w:br/>
      </w:r>
      <w:r>
        <w:rPr>
          <w:sz w:val="16"/>
          <w:szCs w:val="16"/>
        </w:rPr>
        <w:br/>
      </w:r>
      <w:r>
        <w:rPr>
          <w:i/>
          <w:iCs/>
        </w:rPr>
        <w:t>The last sentence of clause 3.41.3 is as pernickety a quibble over the meaning of wards as anyone could have the misfortune to encounter – no doubt dreamed up by a “clever” lawyer to justify his/her “substantial” income</w:t>
      </w:r>
      <w:r>
        <w:rPr>
          <w:i/>
          <w:iCs/>
          <w:sz w:val="16"/>
          <w:szCs w:val="16"/>
        </w:rPr>
        <w:t>.</w:t>
        <w:br/>
        <w:br/>
      </w:r>
      <w:r>
        <w:rPr>
          <w:i/>
          <w:iCs/>
        </w:rPr>
        <w:t>Small Charity Support takes the view that this very pedantically bureaucratic interpretation of “Gift Aid Rules” unfairly discriminates against a charity’s recognition of, and benefiting from, the generosity of its volunteers.   Because it effectively obstructing their charity’s ability to claim Gift Aid on their donations which, when measured against their disposable income, can often be as generous as larger donations from more wealthy donors (particularly when higher income donors also benefit from their own 25% tax refund of their donation from HMRC).</w:t>
      </w:r>
      <w:r>
        <w:rPr>
          <w:i/>
          <w:iCs/>
          <w:sz w:val="16"/>
          <w:szCs w:val="16"/>
        </w:rPr>
        <w:br/>
        <w:br/>
      </w:r>
      <w:r>
        <w:rPr>
          <w:i/>
          <w:iCs/>
        </w:rPr>
        <w:t>Small Charity Support continues to do what it can to lobby for this rule to be revised.</w:t>
        <w:br/>
        <w:t>But, in the meantime, charities (particularly small charities) have no option other than to bide by the law and miss out on Gift Aid on waived/unclaimed expenses/reimbursements unless they can implement a deferred repayment scheme.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80" w:after="0"/>
      <w:rPr>
        <w:sz w:val="20"/>
        <w:szCs w:val="20"/>
      </w:rPr>
    </w:pPr>
    <w:r>
      <w:rP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80" w:after="0"/>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lvl w:ilvl="0">
      <w:start w:val="1"/>
      <w:numFmt w:val="bullet"/>
      <w:lvlText w:val=""/>
      <w:lvlJc w:val="left"/>
      <w:pPr>
        <w:tabs>
          <w:tab w:val="num" w:pos="432"/>
        </w:tabs>
        <w:ind w:left="432" w:hanging="432"/>
      </w:pPr>
      <w:rPr>
        <w:rFonts w:ascii="Symbol" w:hAnsi="Symbol" w:cs="Symbol" w:hint="default"/>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bullet"/>
      <w:lvlText w:val=""/>
      <w:lvlJc w:val="left"/>
      <w:pPr>
        <w:tabs>
          <w:tab w:val="num" w:pos="432"/>
        </w:tabs>
        <w:ind w:left="432" w:hanging="432"/>
      </w:pPr>
      <w:rPr>
        <w:rFonts w:ascii="Symbol" w:hAnsi="Symbol" w:cs="Symbol" w:hint="default"/>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lowerLetter"/>
      <w:lvlText w:val="%1)"/>
      <w:lvlJc w:val="left"/>
      <w:pPr>
        <w:tabs>
          <w:tab w:val="num" w:pos="0"/>
        </w:tabs>
        <w:ind w:left="930" w:hanging="57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bullet"/>
      <w:lvlText w:val=""/>
      <w:lvlJc w:val="left"/>
      <w:pPr>
        <w:tabs>
          <w:tab w:val="num" w:pos="0"/>
        </w:tabs>
        <w:ind w:left="720" w:hanging="360"/>
      </w:pPr>
      <w:rPr>
        <w:rFonts w:ascii="Webdings" w:hAnsi="Webdings" w:cs="Webdings" w:hint="default"/>
        <w:i w:val="false"/>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isplayBackgroundShape/>
  <w:mirrorMargins/>
  <w:embedSystemFonts/>
  <w:defaultTabStop w:val="567"/>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1d66"/>
    <w:pPr>
      <w:widowControl/>
      <w:suppressAutoHyphens w:val="true"/>
      <w:bidi w:val="0"/>
      <w:spacing w:before="80" w:after="0"/>
      <w:jc w:val="left"/>
    </w:pPr>
    <w:rPr>
      <w:rFonts w:ascii="Calibri" w:hAnsi="Calibri" w:eastAsia="Arial Unicode MS" w:cs="Times New Roman" w:asciiTheme="minorHAnsi" w:hAnsiTheme="minorHAnsi"/>
      <w:color w:val="auto"/>
      <w:kern w:val="2"/>
      <w:sz w:val="24"/>
      <w:szCs w:val="24"/>
      <w:lang w:val="en-GB" w:eastAsia="en-GB" w:bidi="ar-SA"/>
    </w:rPr>
  </w:style>
  <w:style w:type="paragraph" w:styleId="Heading1">
    <w:name w:val="Heading 1"/>
    <w:basedOn w:val="Heading"/>
    <w:next w:val="TextBody"/>
    <w:link w:val="Heading1Char"/>
    <w:qFormat/>
    <w:rsid w:val="00c00214"/>
    <w:pPr>
      <w:spacing w:before="360" w:after="0"/>
      <w:outlineLvl w:val="0"/>
    </w:pPr>
    <w:rPr>
      <w:rFonts w:ascii="Calibri" w:hAnsi="Calibri" w:asciiTheme="minorHAnsi" w:hAnsiTheme="minorHAnsi"/>
      <w:bCs/>
      <w:sz w:val="40"/>
      <w:szCs w:val="40"/>
    </w:rPr>
  </w:style>
  <w:style w:type="paragraph" w:styleId="Heading2">
    <w:name w:val="Heading 2"/>
    <w:basedOn w:val="Heading"/>
    <w:next w:val="TextBody"/>
    <w:link w:val="Heading2Char"/>
    <w:qFormat/>
    <w:rsid w:val="004b6ada"/>
    <w:pPr>
      <w:spacing w:before="240" w:after="0"/>
      <w:outlineLvl w:val="1"/>
    </w:pPr>
    <w:rPr>
      <w:rFonts w:ascii="Calibri" w:hAnsi="Calibri" w:asciiTheme="minorHAnsi" w:hAnsiTheme="minorHAnsi"/>
      <w:bCs/>
      <w:sz w:val="32"/>
      <w:szCs w:val="32"/>
    </w:rPr>
  </w:style>
  <w:style w:type="paragraph" w:styleId="Heading3">
    <w:name w:val="Heading 3"/>
    <w:basedOn w:val="Heading"/>
    <w:next w:val="TextBody"/>
    <w:link w:val="Heading3Char"/>
    <w:qFormat/>
    <w:rsid w:val="00cd1a39"/>
    <w:pPr>
      <w:spacing w:before="120" w:after="0"/>
      <w:outlineLvl w:val="2"/>
    </w:pPr>
    <w:rPr>
      <w:rFonts w:ascii="Calibri" w:hAnsi="Calibri" w:asciiTheme="minorHAnsi" w:hAnsiTheme="minorHAnsi"/>
      <w:bCs/>
      <w:i/>
      <w:sz w:val="24"/>
      <w:szCs w:val="24"/>
    </w:rPr>
  </w:style>
  <w:style w:type="character" w:styleId="DefaultParagraphFont" w:default="1">
    <w:name w:val="Default Paragraph Font"/>
    <w:uiPriority w:val="1"/>
    <w:semiHidden/>
    <w:unhideWhenUsed/>
    <w:qFormat/>
    <w:rPr/>
  </w:style>
  <w:style w:type="character" w:styleId="Strong">
    <w:name w:val="Strong"/>
    <w:basedOn w:val="DefaultParagraphFont"/>
    <w:qFormat/>
    <w:rPr>
      <w:b/>
      <w:bCs/>
    </w:rPr>
  </w:style>
  <w:style w:type="character" w:styleId="Bullets" w:customStyle="1">
    <w:name w:val="Bullets"/>
    <w:qFormat/>
    <w:rPr>
      <w:rFonts w:ascii="OpenSymbol" w:hAnsi="OpenSymbol" w:eastAsia="OpenSymbol" w:cs="OpenSymbol"/>
    </w:rPr>
  </w:style>
  <w:style w:type="character" w:styleId="Subhead3" w:customStyle="1">
    <w:name w:val="subhead3"/>
    <w:basedOn w:val="DefaultParagraphFont"/>
    <w:qFormat/>
    <w:rPr/>
  </w:style>
  <w:style w:type="character" w:styleId="WW8Num5z1" w:customStyle="1">
    <w:name w:val="WW8Num5z1"/>
    <w:qFormat/>
    <w:rPr>
      <w:rFonts w:ascii="Courier New" w:hAnsi="Courier New"/>
    </w:rPr>
  </w:style>
  <w:style w:type="character" w:styleId="WW8Num5z2" w:customStyle="1">
    <w:name w:val="WW8Num5z2"/>
    <w:qFormat/>
    <w:rPr>
      <w:rFonts w:ascii="Wingdings" w:hAnsi="Wingdings"/>
    </w:rPr>
  </w:style>
  <w:style w:type="character" w:styleId="WW8Num5z0" w:customStyle="1">
    <w:name w:val="WW8Num5z0"/>
    <w:qFormat/>
    <w:rPr>
      <w:rFonts w:ascii="Symbol" w:hAnsi="Symbol"/>
    </w:rPr>
  </w:style>
  <w:style w:type="character" w:styleId="InternetLink">
    <w:name w:val="Hyperlink"/>
    <w:rPr>
      <w:color w:val="000080"/>
      <w:u w:val="single"/>
    </w:rPr>
  </w:style>
  <w:style w:type="character" w:styleId="NumberingSymbols" w:customStyle="1">
    <w:name w:val="Numbering Symbols"/>
    <w:qFormat/>
    <w:rPr/>
  </w:style>
  <w:style w:type="character" w:styleId="BalloonTextChar" w:customStyle="1">
    <w:name w:val="Balloon Text Char"/>
    <w:basedOn w:val="DefaultParagraphFont"/>
    <w:link w:val="BalloonText"/>
    <w:uiPriority w:val="99"/>
    <w:semiHidden/>
    <w:qFormat/>
    <w:rsid w:val="00ae3bda"/>
    <w:rPr>
      <w:rFonts w:ascii="Tahoma" w:hAnsi="Tahoma" w:eastAsia="Arial Unicode MS" w:cs="Tahoma"/>
      <w:kern w:val="2"/>
      <w:sz w:val="16"/>
      <w:szCs w:val="16"/>
    </w:rPr>
  </w:style>
  <w:style w:type="character" w:styleId="FootnoteTextChar" w:customStyle="1">
    <w:name w:val="Footnote Text Char"/>
    <w:basedOn w:val="DefaultParagraphFont"/>
    <w:link w:val="Footnote"/>
    <w:uiPriority w:val="99"/>
    <w:semiHidden/>
    <w:qFormat/>
    <w:rsid w:val="00f304ed"/>
    <w:rPr>
      <w:rFonts w:ascii="Calibri" w:hAnsi="Calibri" w:eastAsia="Calibri"/>
      <w:lang w:eastAsia="en-US"/>
    </w:rPr>
  </w:style>
  <w:style w:type="character" w:styleId="FootnoteCharacters">
    <w:name w:val="Footnote Characters"/>
    <w:uiPriority w:val="99"/>
    <w:semiHidden/>
    <w:unhideWhenUsed/>
    <w:qFormat/>
    <w:rsid w:val="00f304ed"/>
    <w:rPr>
      <w:vertAlign w:val="superscript"/>
    </w:rPr>
  </w:style>
  <w:style w:type="character" w:styleId="FootnoteAnchor">
    <w:name w:val="Footnote Reference"/>
    <w:rPr>
      <w:vertAlign w:val="superscript"/>
    </w:rPr>
  </w:style>
  <w:style w:type="character" w:styleId="Level12Char" w:customStyle="1">
    <w:name w:val="Level-1&amp;2 Char"/>
    <w:basedOn w:val="DefaultParagraphFont"/>
    <w:link w:val="Level12"/>
    <w:qFormat/>
    <w:rsid w:val="00d2363f"/>
    <w:rPr>
      <w:rFonts w:ascii="Calibri" w:hAnsi="Calibri" w:eastAsia="Calibri"/>
      <w:sz w:val="22"/>
      <w:szCs w:val="22"/>
      <w:lang w:eastAsia="en-US"/>
    </w:rPr>
  </w:style>
  <w:style w:type="character" w:styleId="QuotationChar" w:customStyle="1">
    <w:name w:val="Quotation Char"/>
    <w:basedOn w:val="Level12Char"/>
    <w:link w:val="Quotation"/>
    <w:qFormat/>
    <w:rsid w:val="00b62afe"/>
    <w:rPr>
      <w:rFonts w:ascii="Calibri" w:hAnsi="Calibri" w:eastAsia="Calibri"/>
      <w:i/>
      <w:sz w:val="22"/>
      <w:szCs w:val="22"/>
      <w:lang w:eastAsia="en-US"/>
    </w:rPr>
  </w:style>
  <w:style w:type="character" w:styleId="QuoteChar" w:customStyle="1">
    <w:name w:val="Quote Char"/>
    <w:basedOn w:val="DefaultParagraphFont"/>
    <w:link w:val="Quote"/>
    <w:uiPriority w:val="29"/>
    <w:qFormat/>
    <w:rsid w:val="004f6009"/>
    <w:rPr>
      <w:rFonts w:ascii="Calibri" w:hAnsi="Calibri" w:eastAsia="Arial Unicode MS" w:asciiTheme="minorHAnsi" w:hAnsiTheme="minorHAnsi"/>
      <w:i/>
      <w:iCs/>
      <w:color w:val="404040" w:themeColor="text1" w:themeTint="bf"/>
      <w:kern w:val="2"/>
      <w:sz w:val="24"/>
      <w:szCs w:val="24"/>
    </w:rPr>
  </w:style>
  <w:style w:type="character" w:styleId="VisitedInternetLink">
    <w:name w:val="FollowedHyperlink"/>
    <w:basedOn w:val="DefaultParagraphFont"/>
    <w:uiPriority w:val="99"/>
    <w:semiHidden/>
    <w:unhideWhenUsed/>
    <w:rsid w:val="00341a91"/>
    <w:rPr>
      <w:color w:val="800080" w:themeColor="followedHyperlink"/>
      <w:u w:val="single"/>
    </w:rPr>
  </w:style>
  <w:style w:type="character" w:styleId="UnresolvedMention">
    <w:name w:val="Unresolved Mention"/>
    <w:basedOn w:val="DefaultParagraphFont"/>
    <w:uiPriority w:val="99"/>
    <w:semiHidden/>
    <w:unhideWhenUsed/>
    <w:qFormat/>
    <w:rsid w:val="00dd5190"/>
    <w:rPr>
      <w:color w:val="605E5C"/>
      <w:shd w:fill="E1DFDD" w:val="clear"/>
    </w:rPr>
  </w:style>
  <w:style w:type="character" w:styleId="TitleChar" w:customStyle="1">
    <w:name w:val="Title Char"/>
    <w:basedOn w:val="DefaultParagraphFont"/>
    <w:link w:val="Title"/>
    <w:uiPriority w:val="10"/>
    <w:qFormat/>
    <w:rsid w:val="00446116"/>
    <w:rPr>
      <w:rFonts w:ascii="Calibri" w:hAnsi="Calibri" w:eastAsia="Arial Unicode MS" w:cs="Calibri" w:asciiTheme="minorHAnsi" w:cstheme="minorHAnsi" w:hAnsiTheme="minorHAnsi"/>
      <w:b/>
      <w:color w:val="579D1C"/>
      <w:kern w:val="2"/>
      <w:sz w:val="56"/>
      <w:szCs w:val="56"/>
    </w:rPr>
  </w:style>
  <w:style w:type="character" w:styleId="Heading1Char" w:customStyle="1">
    <w:name w:val="Heading 1 Char"/>
    <w:basedOn w:val="DefaultParagraphFont"/>
    <w:link w:val="Heading1"/>
    <w:qFormat/>
    <w:rsid w:val="003840ea"/>
    <w:rPr>
      <w:rFonts w:ascii="Calibri" w:hAnsi="Calibri" w:eastAsia="Arial Unicode MS" w:cs="Tahoma" w:asciiTheme="minorHAnsi" w:hAnsiTheme="minorHAnsi"/>
      <w:b/>
      <w:bCs/>
      <w:color w:val="579D1C"/>
      <w:kern w:val="2"/>
      <w:sz w:val="40"/>
      <w:szCs w:val="40"/>
    </w:rPr>
  </w:style>
  <w:style w:type="character" w:styleId="Heading2Char" w:customStyle="1">
    <w:name w:val="Heading 2 Char"/>
    <w:basedOn w:val="DefaultParagraphFont"/>
    <w:link w:val="Heading2"/>
    <w:qFormat/>
    <w:rsid w:val="003840ea"/>
    <w:rPr>
      <w:rFonts w:ascii="Calibri" w:hAnsi="Calibri" w:eastAsia="Arial Unicode MS" w:cs="Tahoma" w:asciiTheme="minorHAnsi" w:hAnsiTheme="minorHAnsi"/>
      <w:b/>
      <w:bCs/>
      <w:color w:val="579D1C"/>
      <w:kern w:val="2"/>
      <w:sz w:val="32"/>
      <w:szCs w:val="32"/>
    </w:rPr>
  </w:style>
  <w:style w:type="character" w:styleId="Heading3Char" w:customStyle="1">
    <w:name w:val="Heading 3 Char"/>
    <w:basedOn w:val="DefaultParagraphFont"/>
    <w:link w:val="Heading3"/>
    <w:qFormat/>
    <w:rsid w:val="003840ea"/>
    <w:rPr>
      <w:rFonts w:ascii="Calibri" w:hAnsi="Calibri" w:eastAsia="Arial Unicode MS" w:cs="Tahoma" w:asciiTheme="minorHAnsi" w:hAnsiTheme="minorHAnsi"/>
      <w:b/>
      <w:bCs/>
      <w:i/>
      <w:color w:val="579D1C"/>
      <w:kern w:val="2"/>
      <w:sz w:val="24"/>
      <w:szCs w:val="24"/>
    </w:rPr>
  </w:style>
  <w:style w:type="character" w:styleId="HeaderChar" w:customStyle="1">
    <w:name w:val="Header Char"/>
    <w:basedOn w:val="DefaultParagraphFont"/>
    <w:link w:val="Header"/>
    <w:qFormat/>
    <w:rsid w:val="003840ea"/>
    <w:rPr>
      <w:rFonts w:ascii="Calibri" w:hAnsi="Calibri" w:eastAsia="Arial Unicode MS" w:asciiTheme="minorHAnsi" w:hAnsiTheme="minorHAnsi"/>
      <w:kern w:val="2"/>
      <w:sz w:val="24"/>
      <w:szCs w:val="24"/>
    </w:rPr>
  </w:style>
  <w:style w:type="character" w:styleId="FooterChar" w:customStyle="1">
    <w:name w:val="Footer Char"/>
    <w:basedOn w:val="DefaultParagraphFont"/>
    <w:link w:val="Footer"/>
    <w:qFormat/>
    <w:rsid w:val="003840ea"/>
    <w:rPr>
      <w:rFonts w:ascii="Trebuchet MS" w:hAnsi="Trebuchet MS" w:eastAsia="Arial Unicode MS"/>
      <w:i/>
      <w:iCs/>
      <w:color w:val="579D1C"/>
      <w:kern w:val="2"/>
      <w:sz w:val="16"/>
      <w:szCs w:val="16"/>
    </w:rPr>
  </w:style>
  <w:style w:type="character" w:styleId="EndnoteCharacters">
    <w:name w:val="Endnote Characters"/>
    <w:qFormat/>
    <w:rPr/>
  </w:style>
  <w:style w:type="character" w:styleId="EndnoteAnchor">
    <w:name w:val="Endnote Reference"/>
    <w:rPr>
      <w:vertAlign w:val="superscript"/>
    </w:rPr>
  </w:style>
  <w:style w:type="paragraph" w:styleId="Heading" w:customStyle="1">
    <w:name w:val="Heading"/>
    <w:basedOn w:val="Normal"/>
    <w:next w:val="TextBody"/>
    <w:qFormat/>
    <w:pPr>
      <w:keepNext w:val="true"/>
      <w:spacing w:before="170" w:after="113"/>
    </w:pPr>
    <w:rPr>
      <w:rFonts w:ascii="Trebuchet MS" w:hAnsi="Trebuchet MS" w:cs="Tahoma"/>
      <w:b/>
      <w:color w:val="579D1C"/>
      <w:sz w:val="48"/>
      <w:szCs w:val="28"/>
    </w:rPr>
  </w:style>
  <w:style w:type="paragraph" w:styleId="TextBody">
    <w:name w:val="Body Text"/>
    <w:basedOn w:val="Normal"/>
    <w:pPr>
      <w:spacing w:before="57" w:after="57"/>
    </w:pPr>
    <w:rPr>
      <w:rFonts w:ascii="Trebuchet MS" w:hAnsi="Trebuchet MS"/>
      <w:sz w:val="22"/>
    </w:rPr>
  </w:style>
  <w:style w:type="paragraph" w:styleId="List">
    <w:name w:val="List"/>
    <w:basedOn w:val="TextBody"/>
    <w:pPr/>
    <w:rPr>
      <w:rFonts w:ascii="Arial" w:hAnsi="Arial" w:cs="Tahoma"/>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Tahoma"/>
    </w:rPr>
  </w:style>
  <w:style w:type="paragraph" w:styleId="Caption1">
    <w:name w:val="caption"/>
    <w:basedOn w:val="Normal"/>
    <w:qFormat/>
    <w:pPr>
      <w:suppressLineNumbers/>
      <w:spacing w:before="120" w:after="120"/>
    </w:pPr>
    <w:rPr>
      <w:rFonts w:cs="Tahoma"/>
      <w:i/>
      <w:iCs/>
    </w:rPr>
  </w:style>
  <w:style w:type="paragraph" w:styleId="HeaderandFooter">
    <w:name w:val="Header and Footer"/>
    <w:basedOn w:val="Normal"/>
    <w:qFormat/>
    <w:pPr/>
    <w:rPr/>
  </w:style>
  <w:style w:type="paragraph" w:styleId="Header">
    <w:name w:val="Header"/>
    <w:basedOn w:val="Normal"/>
    <w:link w:val="HeaderChar"/>
    <w:pPr>
      <w:suppressLineNumbers/>
      <w:tabs>
        <w:tab w:val="clear" w:pos="567"/>
        <w:tab w:val="center" w:pos="4818" w:leader="none"/>
        <w:tab w:val="right" w:pos="9637" w:leader="none"/>
      </w:tabs>
    </w:pPr>
    <w:rPr/>
  </w:style>
  <w:style w:type="paragraph" w:styleId="Footer">
    <w:name w:val="Footer"/>
    <w:basedOn w:val="Normal"/>
    <w:link w:val="FooterChar"/>
    <w:pPr>
      <w:suppressLineNumbers/>
      <w:tabs>
        <w:tab w:val="clear" w:pos="567"/>
        <w:tab w:val="center" w:pos="4818" w:leader="none"/>
        <w:tab w:val="right" w:pos="9637" w:leader="none"/>
      </w:tabs>
      <w:jc w:val="center"/>
    </w:pPr>
    <w:rPr>
      <w:rFonts w:ascii="Trebuchet MS" w:hAnsi="Trebuchet MS"/>
      <w:i/>
      <w:iCs/>
      <w:color w:val="579D1C"/>
      <w:sz w:val="16"/>
      <w:szCs w:val="16"/>
    </w:rPr>
  </w:style>
  <w:style w:type="paragraph" w:styleId="TableContents" w:customStyle="1">
    <w:name w:val="Table Contents"/>
    <w:basedOn w:val="Normal"/>
    <w:qFormat/>
    <w:pPr>
      <w:suppressLineNumbers/>
    </w:pPr>
    <w:rPr/>
  </w:style>
  <w:style w:type="paragraph" w:styleId="Textbodybullet" w:customStyle="1">
    <w:name w:val="Text body bullet"/>
    <w:basedOn w:val="TextBody"/>
    <w:qFormat/>
    <w:pPr>
      <w:spacing w:before="28" w:after="28"/>
    </w:pPr>
    <w:rPr/>
  </w:style>
  <w:style w:type="paragraph" w:styleId="TableHeading" w:customStyle="1">
    <w:name w:val="Table Heading"/>
    <w:basedOn w:val="TableContents"/>
    <w:qFormat/>
    <w:pPr>
      <w:jc w:val="center"/>
    </w:pPr>
    <w:rPr>
      <w:b/>
      <w:bCs/>
    </w:rPr>
  </w:style>
  <w:style w:type="paragraph" w:styleId="BalloonText">
    <w:name w:val="Balloon Text"/>
    <w:basedOn w:val="Normal"/>
    <w:link w:val="BalloonTextChar"/>
    <w:uiPriority w:val="99"/>
    <w:semiHidden/>
    <w:unhideWhenUsed/>
    <w:qFormat/>
    <w:rsid w:val="00ae3bda"/>
    <w:pPr/>
    <w:rPr>
      <w:rFonts w:ascii="Tahoma" w:hAnsi="Tahoma" w:cs="Tahoma"/>
      <w:sz w:val="16"/>
      <w:szCs w:val="16"/>
    </w:rPr>
  </w:style>
  <w:style w:type="paragraph" w:styleId="ListParagraph">
    <w:name w:val="List Paragraph"/>
    <w:basedOn w:val="Normal"/>
    <w:uiPriority w:val="34"/>
    <w:qFormat/>
    <w:rsid w:val="00d43151"/>
    <w:pPr>
      <w:numPr>
        <w:ilvl w:val="0"/>
        <w:numId w:val="4"/>
      </w:numPr>
      <w:suppressAutoHyphens w:val="false"/>
      <w:overflowPunct w:val="false"/>
      <w:spacing w:before="80" w:after="0"/>
      <w:contextualSpacing/>
      <w:textAlignment w:val="baseline"/>
    </w:pPr>
    <w:rPr>
      <w:kern w:val="0"/>
    </w:rPr>
  </w:style>
  <w:style w:type="paragraph" w:styleId="Bullet" w:customStyle="1">
    <w:name w:val="Bullet"/>
    <w:basedOn w:val="Heading1"/>
    <w:qFormat/>
    <w:rsid w:val="00df50f6"/>
    <w:pPr>
      <w:keepNext w:val="false"/>
      <w:keepLines/>
      <w:numPr>
        <w:ilvl w:val="0"/>
        <w:numId w:val="2"/>
      </w:numPr>
      <w:tabs>
        <w:tab w:val="clear" w:pos="567"/>
        <w:tab w:val="left" w:pos="284" w:leader="none"/>
      </w:tabs>
      <w:spacing w:before="120" w:after="0"/>
    </w:pPr>
    <w:rPr>
      <w:b w:val="false"/>
      <w:color w:val="auto"/>
      <w:sz w:val="24"/>
      <w:szCs w:val="24"/>
    </w:rPr>
  </w:style>
  <w:style w:type="paragraph" w:styleId="Bullet2" w:customStyle="1">
    <w:name w:val="Bullet2"/>
    <w:basedOn w:val="Bullet"/>
    <w:qFormat/>
    <w:rsid w:val="00df50f6"/>
    <w:pPr>
      <w:numPr>
        <w:ilvl w:val="0"/>
        <w:numId w:val="3"/>
      </w:numPr>
      <w:tabs>
        <w:tab w:val="left" w:pos="284" w:leader="none"/>
        <w:tab w:val="left" w:pos="567" w:leader="none"/>
      </w:tabs>
      <w:spacing w:before="40" w:after="0"/>
    </w:pPr>
    <w:rPr/>
  </w:style>
  <w:style w:type="paragraph" w:styleId="Footnote">
    <w:name w:val="Footnote Text"/>
    <w:basedOn w:val="Normal"/>
    <w:link w:val="FootnoteTextChar"/>
    <w:uiPriority w:val="99"/>
    <w:semiHidden/>
    <w:unhideWhenUsed/>
    <w:rsid w:val="00f304ed"/>
    <w:pPr>
      <w:suppressAutoHyphens w:val="false"/>
      <w:spacing w:before="80" w:after="80"/>
    </w:pPr>
    <w:rPr>
      <w:rFonts w:ascii="Calibri" w:hAnsi="Calibri" w:eastAsia="Calibri"/>
      <w:kern w:val="0"/>
      <w:sz w:val="20"/>
      <w:szCs w:val="20"/>
      <w:lang w:eastAsia="en-US"/>
    </w:rPr>
  </w:style>
  <w:style w:type="paragraph" w:styleId="Level12" w:customStyle="1">
    <w:name w:val="Level-1&amp;2"/>
    <w:link w:val="Level12Char"/>
    <w:qFormat/>
    <w:rsid w:val="00f304ed"/>
    <w:pPr>
      <w:widowControl/>
      <w:suppressAutoHyphens w:val="true"/>
      <w:bidi w:val="0"/>
      <w:spacing w:before="80" w:after="0"/>
      <w:ind w:left="680" w:hanging="0"/>
      <w:jc w:val="left"/>
    </w:pPr>
    <w:rPr>
      <w:rFonts w:ascii="Calibri" w:hAnsi="Calibri" w:eastAsia="Calibri" w:cs="Times New Roman"/>
      <w:color w:val="auto"/>
      <w:kern w:val="0"/>
      <w:sz w:val="22"/>
      <w:szCs w:val="22"/>
      <w:lang w:val="en-GB" w:eastAsia="en-US" w:bidi="ar-SA"/>
    </w:rPr>
  </w:style>
  <w:style w:type="paragraph" w:styleId="Quotation" w:customStyle="1">
    <w:name w:val="Quotation"/>
    <w:basedOn w:val="Level12"/>
    <w:link w:val="QuotationChar"/>
    <w:qFormat/>
    <w:rsid w:val="00b62afe"/>
    <w:pPr>
      <w:spacing w:before="0" w:after="0"/>
      <w:ind w:left="567" w:right="567" w:hanging="0"/>
    </w:pPr>
    <w:rPr>
      <w:i/>
    </w:rPr>
  </w:style>
  <w:style w:type="paragraph" w:styleId="Quote">
    <w:name w:val="Quote"/>
    <w:basedOn w:val="Normal"/>
    <w:next w:val="Normal"/>
    <w:link w:val="QuoteChar"/>
    <w:uiPriority w:val="29"/>
    <w:qFormat/>
    <w:rsid w:val="004f6009"/>
    <w:pPr>
      <w:spacing w:before="200" w:after="160"/>
      <w:ind w:left="864" w:right="864" w:hanging="0"/>
      <w:jc w:val="center"/>
    </w:pPr>
    <w:rPr>
      <w:i/>
      <w:iCs/>
      <w:color w:val="404040" w:themeColor="text1" w:themeTint="bf"/>
    </w:rPr>
  </w:style>
  <w:style w:type="paragraph" w:styleId="Pa4" w:customStyle="1">
    <w:name w:val="Pa4"/>
    <w:basedOn w:val="Normal"/>
    <w:next w:val="Normal"/>
    <w:uiPriority w:val="99"/>
    <w:qFormat/>
    <w:rsid w:val="001d4dea"/>
    <w:pPr>
      <w:suppressAutoHyphens w:val="false"/>
      <w:spacing w:lineRule="atLeast" w:line="361" w:before="0" w:after="0"/>
    </w:pPr>
    <w:rPr>
      <w:rFonts w:ascii="Dax-Medium" w:hAnsi="Dax-Medium" w:eastAsia="Times New Roman"/>
      <w:kern w:val="0"/>
    </w:rPr>
  </w:style>
  <w:style w:type="paragraph" w:styleId="Title">
    <w:name w:val="Title"/>
    <w:basedOn w:val="Heading"/>
    <w:next w:val="Normal"/>
    <w:link w:val="TitleChar"/>
    <w:uiPriority w:val="10"/>
    <w:qFormat/>
    <w:rsid w:val="00446116"/>
    <w:pPr>
      <w:spacing w:before="240" w:after="0"/>
    </w:pPr>
    <w:rPr>
      <w:rFonts w:ascii="Calibri" w:hAnsi="Calibri" w:cs="Calibri" w:asciiTheme="minorHAnsi" w:cstheme="minorHAnsi" w:hAnsiTheme="minorHAnsi"/>
      <w:sz w:val="56"/>
      <w:szCs w:val="56"/>
    </w:rPr>
  </w:style>
  <w:style w:type="paragraph" w:styleId="Lista" w:customStyle="1">
    <w:name w:val="List-a"/>
    <w:basedOn w:val="Quotation"/>
    <w:qFormat/>
    <w:rsid w:val="00f723e6"/>
    <w:pPr>
      <w:numPr>
        <w:ilvl w:val="0"/>
        <w:numId w:val="6"/>
      </w:numPr>
      <w:spacing w:before="60" w:after="0"/>
      <w:ind w:left="567" w:right="567" w:hanging="567"/>
    </w:pPr>
    <w:rPr>
      <w:sz w:val="24"/>
    </w:rPr>
  </w:style>
  <w:style w:type="paragraph" w:styleId="NormalWeb">
    <w:name w:val="Normal (Web)"/>
    <w:basedOn w:val="Normal"/>
    <w:uiPriority w:val="99"/>
    <w:semiHidden/>
    <w:unhideWhenUsed/>
    <w:qFormat/>
    <w:rsid w:val="00d0024b"/>
    <w:pPr>
      <w:suppressAutoHyphens w:val="false"/>
      <w:spacing w:beforeAutospacing="1" w:afterAutospacing="1"/>
      <w:jc w:val="both"/>
    </w:pPr>
    <w:rPr>
      <w:rFonts w:ascii="Times New Roman" w:hAnsi="Times New Roman" w:eastAsia="Times New Roman"/>
      <w:kern w:val="0"/>
    </w:rPr>
  </w:style>
  <w:style w:type="paragraph" w:styleId="NoSpacing">
    <w:name w:val="No Spacing"/>
    <w:uiPriority w:val="1"/>
    <w:qFormat/>
    <w:rsid w:val="00d21bb1"/>
    <w:pPr>
      <w:widowControl/>
      <w:suppressAutoHyphens w:val="true"/>
      <w:bidi w:val="0"/>
      <w:spacing w:before="0" w:after="0"/>
      <w:jc w:val="left"/>
    </w:pPr>
    <w:rPr>
      <w:rFonts w:ascii="Calibri" w:hAnsi="Calibri" w:eastAsia="Arial Unicode MS" w:cs="Times New Roman" w:asciiTheme="minorHAnsi" w:hAnsiTheme="minorHAnsi"/>
      <w:color w:val="auto"/>
      <w:kern w:val="2"/>
      <w:sz w:val="24"/>
      <w:szCs w:val="24"/>
      <w:lang w:val="en-GB" w:eastAsia="en-GB" w:bidi="ar-SA"/>
    </w:rPr>
  </w:style>
  <w:style w:type="paragraph" w:styleId="BulletTick" w:customStyle="1">
    <w:name w:val="Bullet-Tick"/>
    <w:basedOn w:val="Textbodybullet"/>
    <w:qFormat/>
    <w:rsid w:val="00236b9c"/>
    <w:pPr>
      <w:numPr>
        <w:ilvl w:val="0"/>
        <w:numId w:val="1"/>
      </w:numPr>
      <w:tabs>
        <w:tab w:val="clear" w:pos="567"/>
        <w:tab w:val="left" w:pos="426" w:leader="none"/>
      </w:tabs>
      <w:spacing w:before="60" w:after="0"/>
      <w:ind w:left="425" w:hanging="425"/>
    </w:pPr>
    <w:rPr>
      <w:rFonts w:ascii="Calibri" w:hAnsi="Calibri" w:cs="Calibri" w:asciiTheme="minorHAnsi" w:cstheme="minorHAnsi" w:hAnsiTheme="minorHAnsi"/>
      <w:sz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3840ea"/>
    <w:pPr>
      <w:spacing w:before="360"/>
    </w:pPr>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v.uk/government/publications/trustee-expenses-and-payments-cc11/trustee-expenses-and-payments" TargetMode="External"/><Relationship Id="rId3" Type="http://schemas.openxmlformats.org/officeDocument/2006/relationships/hyperlink" Target="https://www.gov.uk/government/publications/charities-detailed-guidance-notes/chapter-3-gift-aid"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D1387-D133-426E-93FA-8AC482D2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SmChSpt-Policies.dotx</Template>
  <TotalTime>11</TotalTime>
  <Application>LibreOffice/7.4.1.2$Windows_X86_64 LibreOffice_project/3c58a8f3a960df8bc8fd77b461821e42c061c5f0</Application>
  <AppVersion>15.0000</AppVersion>
  <Pages>7</Pages>
  <Words>2998</Words>
  <Characters>16122</Characters>
  <CharactersWithSpaces>19104</CharactersWithSpaces>
  <Paragraphs>115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2021-07-01T15:20:00Z</dcterms:created>
  <dc:creator>Brian Seaton</dc:creator>
  <dc:description/>
  <dc:language>en-GB</dc:language>
  <cp:lastModifiedBy/>
  <cp:lastPrinted>2021-04-12T20:46:00Z</cp:lastPrinted>
  <dcterms:modified xsi:type="dcterms:W3CDTF">2023-05-03T13:41:05Z</dcterms:modified>
  <cp:revision>3</cp:revision>
  <dc:subject/>
  <dc:title>Policies</dc:title>
</cp:coreProperties>
</file>

<file path=docProps/custom.xml><?xml version="1.0" encoding="utf-8"?>
<Properties xmlns="http://schemas.openxmlformats.org/officeDocument/2006/custom-properties" xmlns:vt="http://schemas.openxmlformats.org/officeDocument/2006/docPropsVTypes"/>
</file>