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Spacing"/>
        <w:rPr>
          <w:color w:val="000000"/>
        </w:rPr>
      </w:pPr>
      <w:r>
        <w:rPr>
          <w:color w:val="000000"/>
        </w:rPr>
      </w:r>
    </w:p>
    <w:p>
      <w:pPr>
        <w:pStyle w:val="TableContents"/>
        <w:jc w:val="right"/>
        <w:rPr>
          <w:color w:val="000000"/>
        </w:rPr>
      </w:pPr>
      <w:r>
        <w:rPr>
          <w:color w:val="000000"/>
        </w:rPr>
      </w:r>
    </w:p>
    <w:p>
      <w:pPr>
        <w:pStyle w:val="Normal"/>
        <w:spacing w:before="120" w:after="0"/>
        <w:rPr>
          <w:color w:val="000000"/>
        </w:rPr>
      </w:pPr>
      <w:r>
        <w:rPr>
          <w:b/>
          <w:bCs/>
          <w:color w:val="000000"/>
          <w:spacing w:val="300"/>
          <w:kern w:val="2"/>
          <w:sz w:val="40"/>
          <w:szCs w:val="40"/>
        </w:rPr>
        <w:t xml:space="preserve"> </w:t>
      </w:r>
    </w:p>
    <w:p>
      <w:pPr>
        <w:pStyle w:val="Normal"/>
        <w:jc w:val="center"/>
        <w:rPr>
          <w:color w:val="000000"/>
        </w:rPr>
      </w:pPr>
      <w:r>
        <w:rPr>
          <w:rFonts w:cs="Tahoma"/>
          <w:b/>
          <w:color w:val="000000"/>
          <w:sz w:val="40"/>
          <w:szCs w:val="40"/>
        </w:rPr>
        <w:t>BRITISH CAVE RESEARCH ASSOCIATION (BCRA)</w:t>
      </w:r>
    </w:p>
    <w:p>
      <w:pPr>
        <w:pStyle w:val="Normal"/>
        <w:jc w:val="center"/>
        <w:rPr>
          <w:color w:val="000000"/>
        </w:rPr>
      </w:pPr>
      <w:r>
        <w:rPr>
          <w:rFonts w:cs="Tahoma"/>
          <w:b/>
          <w:color w:val="000000"/>
          <w:sz w:val="40"/>
          <w:szCs w:val="40"/>
        </w:rPr>
        <w:t>Overview of the</w:t>
        <w:br/>
        <w:t>General Data Protection Regulation</w:t>
      </w:r>
    </w:p>
    <w:p>
      <w:pPr>
        <w:pStyle w:val="Normal"/>
        <w:ind w:left="567" w:hanging="0"/>
        <w:rPr/>
      </w:pPr>
      <w:r>
        <w:rPr>
          <w:b/>
          <w:bCs/>
          <w:color w:val="000000"/>
          <w:sz w:val="28"/>
          <w:szCs w:val="28"/>
        </w:rPr>
        <w:t>Note:</w:t>
      </w:r>
      <w:r>
        <w:rPr>
          <w:b/>
          <w:bCs/>
          <w:color w:val="000000"/>
        </w:rPr>
        <w:t xml:space="preserve">   Post-Brexit, throughout this document, references to the General Data Protection Regulation (GDPR) are references to the original EU UK-GDPR incorporating the amendments set out in the Keeling Schedule.</w:t>
        <w:br/>
      </w:r>
      <w:hyperlink r:id="rId2">
        <w:r>
          <w:rPr>
            <w:rStyle w:val="InternetLink"/>
            <w:i/>
            <w:iCs/>
            <w:color w:val="000000"/>
            <w:sz w:val="18"/>
            <w:szCs w:val="18"/>
          </w:rPr>
          <w:t>https://assets.publishing.service.gov.uk/government/uploads/system/uploads/attachment_data/file/969514/20201102_-_GDPR_-__MASTER__Keeling_Schedule__with_changes_highlighted__V4.pdf</w:t>
        </w:r>
      </w:hyperlink>
    </w:p>
    <w:p>
      <w:pPr>
        <w:pStyle w:val="BulletLevel0"/>
        <w:numPr>
          <w:ilvl w:val="0"/>
          <w:numId w:val="0"/>
        </w:numPr>
        <w:ind w:left="567" w:hanging="0"/>
        <w:rPr>
          <w:b/>
          <w:b/>
          <w:color w:val="000000"/>
        </w:rPr>
      </w:pPr>
      <w:r>
        <w:rPr>
          <w:b/>
          <w:color w:val="000000"/>
        </w:rPr>
      </w:r>
    </w:p>
    <w:p>
      <w:pPr>
        <w:pStyle w:val="BulletLevel0"/>
        <w:numPr>
          <w:ilvl w:val="0"/>
          <w:numId w:val="0"/>
        </w:numPr>
        <w:ind w:left="567" w:hanging="0"/>
        <w:rPr>
          <w:b/>
          <w:b/>
          <w:color w:val="000000"/>
        </w:rPr>
      </w:pPr>
      <w:r>
        <w:rPr>
          <w:b/>
          <w:color w:val="000000"/>
        </w:rPr>
      </w:r>
    </w:p>
    <w:p>
      <w:pPr>
        <w:pStyle w:val="BulletLevel0"/>
        <w:numPr>
          <w:ilvl w:val="0"/>
          <w:numId w:val="0"/>
        </w:numPr>
        <w:ind w:left="709" w:hanging="0"/>
        <w:rPr/>
      </w:pPr>
      <w:r>
        <w:rPr>
          <w:color w:val="000000"/>
          <w:sz w:val="28"/>
          <w:szCs w:val="28"/>
        </w:rPr>
        <w:t>The BCRA  will ensure that all personal data that it holds will be:</w:t>
      </w:r>
    </w:p>
    <w:p>
      <w:pPr>
        <w:pStyle w:val="BulletLevel0"/>
        <w:numPr>
          <w:ilvl w:val="0"/>
          <w:numId w:val="6"/>
        </w:numPr>
        <w:rPr/>
      </w:pPr>
      <w:r>
        <w:rPr>
          <w:color w:val="000000"/>
          <w:sz w:val="28"/>
          <w:szCs w:val="28"/>
        </w:rPr>
        <w:t>processed lawfully, fairly and in a transparent manner;</w:t>
      </w:r>
    </w:p>
    <w:p>
      <w:pPr>
        <w:pStyle w:val="BulletLevel0"/>
        <w:numPr>
          <w:ilvl w:val="0"/>
          <w:numId w:val="6"/>
        </w:numPr>
        <w:rPr/>
      </w:pPr>
      <w:r>
        <w:rPr>
          <w:color w:val="000000"/>
          <w:sz w:val="28"/>
          <w:szCs w:val="28"/>
        </w:rPr>
        <w:t>collected for specified, explicit and legitimate purposes and not further processed in a manner that is incompatible with those purposes;</w:t>
      </w:r>
    </w:p>
    <w:p>
      <w:pPr>
        <w:pStyle w:val="BulletLevel0"/>
        <w:numPr>
          <w:ilvl w:val="0"/>
          <w:numId w:val="6"/>
        </w:numPr>
        <w:rPr/>
      </w:pPr>
      <w:r>
        <w:rPr>
          <w:color w:val="000000"/>
          <w:sz w:val="28"/>
          <w:szCs w:val="28"/>
        </w:rPr>
        <w:t>adequate, relevant and limited to what is necessary;</w:t>
      </w:r>
    </w:p>
    <w:p>
      <w:pPr>
        <w:pStyle w:val="BulletLevel0"/>
        <w:numPr>
          <w:ilvl w:val="0"/>
          <w:numId w:val="6"/>
        </w:numPr>
        <w:rPr/>
      </w:pPr>
      <w:r>
        <w:rPr>
          <w:color w:val="000000"/>
          <w:sz w:val="28"/>
          <w:szCs w:val="28"/>
        </w:rPr>
        <w:t>accurate and kept up to date;</w:t>
      </w:r>
    </w:p>
    <w:p>
      <w:pPr>
        <w:pStyle w:val="BulletLevel0"/>
        <w:numPr>
          <w:ilvl w:val="0"/>
          <w:numId w:val="6"/>
        </w:numPr>
        <w:rPr/>
      </w:pPr>
      <w:r>
        <w:rPr>
          <w:color w:val="000000"/>
          <w:sz w:val="28"/>
          <w:szCs w:val="28"/>
        </w:rPr>
        <w:t>kept in a form which permits identification of data subjects for no longer than is necessary;</w:t>
      </w:r>
    </w:p>
    <w:p>
      <w:pPr>
        <w:pStyle w:val="BulletLevel0"/>
        <w:numPr>
          <w:ilvl w:val="0"/>
          <w:numId w:val="6"/>
        </w:numPr>
        <w:rPr>
          <w:color w:val="000000"/>
        </w:rPr>
      </w:pPr>
      <w:r>
        <w:rPr>
          <w:color w:val="000000"/>
          <w:sz w:val="28"/>
          <w:szCs w:val="28"/>
        </w:rPr>
        <w:t>processed in a manner that ensures appropriate security of the personal data, including protection against unauthorised or unlawful processing and against accidental loss, destruction or damage.</w:t>
      </w:r>
    </w:p>
    <w:p>
      <w:pPr>
        <w:pStyle w:val="Normal"/>
        <w:rPr>
          <w:b/>
          <w:b/>
          <w:bCs/>
          <w:color w:val="000000"/>
        </w:rPr>
      </w:pPr>
      <w:r>
        <w:rPr>
          <w:b/>
          <w:bCs/>
          <w:color w:val="000000"/>
        </w:rPr>
      </w:r>
    </w:p>
    <w:sdt>
      <w:sdtPr>
        <w:docPartObj>
          <w:docPartGallery w:val="Table of Contents"/>
          <w:docPartUnique w:val="true"/>
        </w:docPartObj>
      </w:sdtPr>
      <w:sdtContent>
        <w:p>
          <w:pPr>
            <w:pStyle w:val="Normal"/>
            <w:suppressAutoHyphens w:val="false"/>
            <w:spacing w:before="0" w:after="0"/>
            <w:rPr>
              <w:color w:val="000000"/>
            </w:rPr>
          </w:pPr>
          <w:r>
            <w:rPr>
              <w:color w:val="000000"/>
            </w:rPr>
          </w:r>
          <w:r>
            <w:br w:type="page"/>
          </w:r>
        </w:p>
        <w:p>
          <w:pPr>
            <w:pStyle w:val="ContentsHeading"/>
            <w:spacing w:lineRule="auto" w:line="240" w:before="0" w:after="240"/>
            <w:ind w:left="0" w:hanging="0"/>
            <w:jc w:val="center"/>
            <w:rPr>
              <w:color w:val="000000"/>
            </w:rPr>
          </w:pPr>
          <w:r>
            <w:rPr>
              <w:rFonts w:eastAsia="Arial Unicode MS" w:cs="Tahoma" w:ascii="Arial" w:hAnsi="Arial"/>
              <w:bCs w:val="false"/>
              <w:color w:val="000000"/>
              <w:kern w:val="2"/>
              <w:sz w:val="48"/>
              <w:szCs w:val="48"/>
              <w:lang w:val="en-GB" w:eastAsia="en-GB"/>
            </w:rPr>
            <w:t>Contents</w:t>
          </w:r>
        </w:p>
        <w:p>
          <w:pPr>
            <w:pStyle w:val="Contents1"/>
            <w:rPr/>
          </w:pPr>
          <w:r>
            <w:fldChar w:fldCharType="begin"/>
          </w:r>
          <w:r>
            <w:rPr>
              <w:webHidden/>
              <w:rStyle w:val="IndexLink"/>
              <w:vanish w:val="false"/>
              <w:color w:val="000000"/>
            </w:rPr>
            <w:instrText xml:space="preserve"> TOC \z \o "1-2" \u \h</w:instrText>
          </w:r>
          <w:r>
            <w:rPr>
              <w:webHidden/>
              <w:rStyle w:val="IndexLink"/>
              <w:vanish w:val="false"/>
              <w:color w:val="000000"/>
            </w:rPr>
            <w:fldChar w:fldCharType="separate"/>
          </w:r>
          <w:hyperlink w:anchor="_Toc88221141">
            <w:r>
              <w:rPr>
                <w:webHidden/>
                <w:rStyle w:val="IndexLink"/>
                <w:vanish w:val="false"/>
                <w:color w:val="000000"/>
              </w:rPr>
              <w:t>1.</w:t>
            </w:r>
            <w:r>
              <w:rPr>
                <w:rStyle w:val="IndexLink"/>
                <w:rFonts w:cs="" w:ascii="Calibri" w:hAnsi="Calibri" w:asciiTheme="minorHAnsi" w:cstheme="minorBidi" w:hAnsiTheme="minorHAnsi"/>
                <w:color w:val="000000"/>
                <w:sz w:val="22"/>
                <w:szCs w:val="22"/>
                <w:lang w:val="en-GB" w:eastAsia="en-GB"/>
              </w:rPr>
              <w:tab/>
            </w:r>
            <w:r>
              <w:rPr>
                <w:rStyle w:val="IndexLink"/>
                <w:color w:val="000000"/>
              </w:rPr>
              <w:t>Introduction to the UK-GDPR</w:t>
            </w:r>
            <w:r>
              <w:rPr>
                <w:webHidden/>
              </w:rPr>
              <w:fldChar w:fldCharType="begin"/>
            </w:r>
            <w:r>
              <w:rPr>
                <w:webHidden/>
              </w:rPr>
              <w:instrText xml:space="preserve">PAGEREF _Toc88221141 \h</w:instrText>
            </w:r>
            <w:r>
              <w:rPr>
                <w:webHidden/>
              </w:rPr>
              <w:fldChar w:fldCharType="separate"/>
            </w:r>
            <w:r>
              <w:rPr>
                <w:rStyle w:val="IndexLink"/>
                <w:vanish w:val="false"/>
                <w:color w:val="000000"/>
              </w:rPr>
              <w:tab/>
              <w:t>3</w:t>
            </w:r>
            <w:r>
              <w:rPr>
                <w:webHidden/>
              </w:rPr>
              <w:fldChar w:fldCharType="end"/>
            </w:r>
          </w:hyperlink>
        </w:p>
        <w:p>
          <w:pPr>
            <w:pStyle w:val="Contents1"/>
            <w:rPr/>
          </w:pPr>
          <w:hyperlink w:anchor="_Toc88221142">
            <w:r>
              <w:rPr>
                <w:webHidden/>
                <w:rStyle w:val="IndexLink"/>
                <w:vanish w:val="false"/>
                <w:color w:val="000000"/>
              </w:rPr>
              <w:t>2.</w:t>
            </w:r>
            <w:r>
              <w:rPr>
                <w:rStyle w:val="IndexLink"/>
                <w:rFonts w:cs="" w:ascii="Calibri" w:hAnsi="Calibri" w:asciiTheme="minorHAnsi" w:cstheme="minorBidi" w:hAnsiTheme="minorHAnsi"/>
                <w:color w:val="000000"/>
                <w:sz w:val="22"/>
                <w:szCs w:val="22"/>
                <w:lang w:val="en-GB" w:eastAsia="en-GB"/>
              </w:rPr>
              <w:tab/>
            </w:r>
            <w:r>
              <w:rPr>
                <w:rStyle w:val="IndexLink"/>
                <w:color w:val="000000"/>
              </w:rPr>
              <w:t>Definitions</w:t>
            </w:r>
            <w:r>
              <w:rPr>
                <w:webHidden/>
              </w:rPr>
              <w:fldChar w:fldCharType="begin"/>
            </w:r>
            <w:r>
              <w:rPr>
                <w:webHidden/>
              </w:rPr>
              <w:instrText xml:space="preserve">PAGEREF _Toc88221142 \h</w:instrText>
            </w:r>
            <w:r>
              <w:rPr>
                <w:webHidden/>
              </w:rPr>
              <w:fldChar w:fldCharType="separate"/>
            </w:r>
            <w:r>
              <w:rPr>
                <w:rStyle w:val="IndexLink"/>
                <w:vanish w:val="false"/>
                <w:color w:val="000000"/>
              </w:rPr>
              <w:tab/>
              <w:t>3</w:t>
            </w:r>
            <w:r>
              <w:rPr>
                <w:webHidden/>
              </w:rPr>
              <w:fldChar w:fldCharType="end"/>
            </w:r>
          </w:hyperlink>
        </w:p>
        <w:p>
          <w:pPr>
            <w:pStyle w:val="Contents1"/>
            <w:rPr/>
          </w:pPr>
          <w:hyperlink w:anchor="_Toc88221143">
            <w:r>
              <w:rPr>
                <w:webHidden/>
                <w:rStyle w:val="IndexLink"/>
                <w:vanish w:val="false"/>
                <w:color w:val="000000"/>
              </w:rPr>
              <w:t>3.</w:t>
            </w:r>
            <w:r>
              <w:rPr>
                <w:rStyle w:val="IndexLink"/>
                <w:rFonts w:cs="" w:ascii="Calibri" w:hAnsi="Calibri" w:asciiTheme="minorHAnsi" w:cstheme="minorBidi" w:hAnsiTheme="minorHAnsi"/>
                <w:color w:val="000000"/>
                <w:sz w:val="22"/>
                <w:szCs w:val="22"/>
                <w:lang w:val="en-GB" w:eastAsia="en-GB"/>
              </w:rPr>
              <w:tab/>
            </w:r>
            <w:r>
              <w:rPr>
                <w:rStyle w:val="IndexLink"/>
                <w:color w:val="000000"/>
              </w:rPr>
              <w:t>Principles of the UK-GDPR</w:t>
            </w:r>
            <w:r>
              <w:rPr>
                <w:webHidden/>
              </w:rPr>
              <w:fldChar w:fldCharType="begin"/>
            </w:r>
            <w:r>
              <w:rPr>
                <w:webHidden/>
              </w:rPr>
              <w:instrText xml:space="preserve">PAGEREF _Toc88221143 \h</w:instrText>
            </w:r>
            <w:r>
              <w:rPr>
                <w:webHidden/>
              </w:rPr>
              <w:fldChar w:fldCharType="separate"/>
            </w:r>
            <w:r>
              <w:rPr>
                <w:rStyle w:val="IndexLink"/>
                <w:vanish w:val="false"/>
                <w:color w:val="000000"/>
              </w:rPr>
              <w:tab/>
              <w:t>3</w:t>
            </w:r>
            <w:r>
              <w:rPr>
                <w:webHidden/>
              </w:rPr>
              <w:fldChar w:fldCharType="end"/>
            </w:r>
          </w:hyperlink>
        </w:p>
        <w:p>
          <w:pPr>
            <w:pStyle w:val="Contents1"/>
            <w:rPr/>
          </w:pPr>
          <w:hyperlink w:anchor="_Toc88221144">
            <w:r>
              <w:rPr>
                <w:webHidden/>
                <w:rStyle w:val="IndexLink"/>
                <w:vanish w:val="false"/>
                <w:color w:val="000000"/>
              </w:rPr>
              <w:t>4.</w:t>
            </w:r>
            <w:r>
              <w:rPr>
                <w:rStyle w:val="IndexLink"/>
                <w:rFonts w:cs="" w:ascii="Calibri" w:hAnsi="Calibri" w:asciiTheme="minorHAnsi" w:cstheme="minorBidi" w:hAnsiTheme="minorHAnsi"/>
                <w:color w:val="000000"/>
                <w:sz w:val="22"/>
                <w:szCs w:val="22"/>
                <w:lang w:val="en-GB" w:eastAsia="en-GB"/>
              </w:rPr>
              <w:tab/>
            </w:r>
            <w:r>
              <w:rPr>
                <w:rStyle w:val="IndexLink"/>
                <w:color w:val="000000"/>
              </w:rPr>
              <w:t>Lawful Processing</w:t>
            </w:r>
            <w:r>
              <w:rPr>
                <w:webHidden/>
              </w:rPr>
              <w:fldChar w:fldCharType="begin"/>
            </w:r>
            <w:r>
              <w:rPr>
                <w:webHidden/>
              </w:rPr>
              <w:instrText xml:space="preserve">PAGEREF _Toc88221144 \h</w:instrText>
            </w:r>
            <w:r>
              <w:rPr>
                <w:webHidden/>
              </w:rPr>
              <w:fldChar w:fldCharType="separate"/>
            </w:r>
            <w:r>
              <w:rPr>
                <w:rStyle w:val="IndexLink"/>
                <w:vanish w:val="false"/>
                <w:color w:val="000000"/>
              </w:rPr>
              <w:tab/>
              <w:t>4</w:t>
            </w:r>
            <w:r>
              <w:rPr>
                <w:webHidden/>
              </w:rPr>
              <w:fldChar w:fldCharType="end"/>
            </w:r>
          </w:hyperlink>
        </w:p>
        <w:p>
          <w:pPr>
            <w:pStyle w:val="Contents2"/>
            <w:tabs>
              <w:tab w:val="left" w:pos="1701" w:leader="none"/>
              <w:tab w:val="right" w:pos="9639" w:leader="dot"/>
            </w:tabs>
            <w:rPr/>
          </w:pPr>
          <w:hyperlink w:anchor="_Toc88221145">
            <w:r>
              <w:rPr>
                <w:webHidden/>
                <w:rStyle w:val="IndexLink"/>
                <w:vanish w:val="false"/>
                <w:color w:val="000000"/>
              </w:rPr>
              <w:t>4.1</w:t>
            </w:r>
            <w:r>
              <w:rPr>
                <w:rStyle w:val="IndexLink"/>
                <w:rFonts w:cs="" w:ascii="Calibri" w:hAnsi="Calibri" w:asciiTheme="minorHAnsi" w:cstheme="minorBidi" w:hAnsiTheme="minorHAnsi"/>
                <w:color w:val="000000"/>
                <w:lang w:val="en-GB" w:eastAsia="en-GB"/>
              </w:rPr>
              <w:tab/>
            </w:r>
            <w:r>
              <w:rPr>
                <w:rStyle w:val="IndexLink"/>
                <w:color w:val="000000"/>
              </w:rPr>
              <w:t>By Consent</w:t>
            </w:r>
            <w:r>
              <w:rPr>
                <w:webHidden/>
              </w:rPr>
              <w:fldChar w:fldCharType="begin"/>
            </w:r>
            <w:r>
              <w:rPr>
                <w:webHidden/>
              </w:rPr>
              <w:instrText xml:space="preserve">PAGEREF _Toc88221145 \h</w:instrText>
            </w:r>
            <w:r>
              <w:rPr>
                <w:webHidden/>
              </w:rPr>
              <w:fldChar w:fldCharType="separate"/>
            </w:r>
            <w:r>
              <w:rPr>
                <w:rStyle w:val="IndexLink"/>
                <w:vanish w:val="false"/>
                <w:color w:val="000000"/>
              </w:rPr>
              <w:tab/>
              <w:t>4</w:t>
            </w:r>
            <w:r>
              <w:rPr>
                <w:webHidden/>
              </w:rPr>
              <w:fldChar w:fldCharType="end"/>
            </w:r>
          </w:hyperlink>
        </w:p>
        <w:p>
          <w:pPr>
            <w:pStyle w:val="Contents2"/>
            <w:tabs>
              <w:tab w:val="left" w:pos="1701" w:leader="none"/>
              <w:tab w:val="right" w:pos="9639" w:leader="dot"/>
            </w:tabs>
            <w:rPr/>
          </w:pPr>
          <w:hyperlink w:anchor="_Toc88221146">
            <w:r>
              <w:rPr>
                <w:webHidden/>
                <w:rStyle w:val="IndexLink"/>
                <w:vanish w:val="false"/>
                <w:color w:val="000000"/>
              </w:rPr>
              <w:t>4.2</w:t>
            </w:r>
            <w:r>
              <w:rPr>
                <w:rStyle w:val="IndexLink"/>
                <w:rFonts w:cs="" w:ascii="Calibri" w:hAnsi="Calibri" w:asciiTheme="minorHAnsi" w:cstheme="minorBidi" w:hAnsiTheme="minorHAnsi"/>
                <w:color w:val="000000"/>
                <w:lang w:val="en-GB" w:eastAsia="en-GB"/>
              </w:rPr>
              <w:tab/>
            </w:r>
            <w:r>
              <w:rPr>
                <w:rStyle w:val="IndexLink"/>
                <w:color w:val="000000"/>
              </w:rPr>
              <w:t>By Contract</w:t>
            </w:r>
            <w:r>
              <w:rPr>
                <w:webHidden/>
              </w:rPr>
              <w:fldChar w:fldCharType="begin"/>
            </w:r>
            <w:r>
              <w:rPr>
                <w:webHidden/>
              </w:rPr>
              <w:instrText xml:space="preserve">PAGEREF _Toc88221146 \h</w:instrText>
            </w:r>
            <w:r>
              <w:rPr>
                <w:webHidden/>
              </w:rPr>
              <w:fldChar w:fldCharType="separate"/>
            </w:r>
            <w:r>
              <w:rPr>
                <w:rStyle w:val="IndexLink"/>
                <w:vanish w:val="false"/>
                <w:color w:val="000000"/>
              </w:rPr>
              <w:tab/>
              <w:t>4</w:t>
            </w:r>
            <w:r>
              <w:rPr>
                <w:webHidden/>
              </w:rPr>
              <w:fldChar w:fldCharType="end"/>
            </w:r>
          </w:hyperlink>
        </w:p>
        <w:p>
          <w:pPr>
            <w:pStyle w:val="Contents2"/>
            <w:tabs>
              <w:tab w:val="left" w:pos="1701" w:leader="none"/>
              <w:tab w:val="right" w:pos="9639" w:leader="dot"/>
            </w:tabs>
            <w:rPr/>
          </w:pPr>
          <w:hyperlink w:anchor="_Toc88221147">
            <w:r>
              <w:rPr>
                <w:webHidden/>
                <w:rStyle w:val="IndexLink"/>
                <w:vanish w:val="false"/>
                <w:color w:val="000000"/>
              </w:rPr>
              <w:t>4.3</w:t>
            </w:r>
            <w:r>
              <w:rPr>
                <w:rStyle w:val="IndexLink"/>
                <w:rFonts w:cs="" w:ascii="Calibri" w:hAnsi="Calibri" w:asciiTheme="minorHAnsi" w:cstheme="minorBidi" w:hAnsiTheme="minorHAnsi"/>
                <w:color w:val="000000"/>
                <w:lang w:val="en-GB" w:eastAsia="en-GB"/>
              </w:rPr>
              <w:tab/>
            </w:r>
            <w:r>
              <w:rPr>
                <w:rStyle w:val="IndexLink"/>
                <w:color w:val="000000"/>
              </w:rPr>
              <w:t>By Legal Obligation</w:t>
            </w:r>
            <w:r>
              <w:rPr>
                <w:webHidden/>
              </w:rPr>
              <w:fldChar w:fldCharType="begin"/>
            </w:r>
            <w:r>
              <w:rPr>
                <w:webHidden/>
              </w:rPr>
              <w:instrText xml:space="preserve">PAGEREF _Toc88221147 \h</w:instrText>
            </w:r>
            <w:r>
              <w:rPr>
                <w:webHidden/>
              </w:rPr>
              <w:fldChar w:fldCharType="separate"/>
            </w:r>
            <w:r>
              <w:rPr>
                <w:rStyle w:val="IndexLink"/>
                <w:vanish w:val="false"/>
                <w:color w:val="000000"/>
              </w:rPr>
              <w:tab/>
              <w:t>4</w:t>
            </w:r>
            <w:r>
              <w:rPr>
                <w:webHidden/>
              </w:rPr>
              <w:fldChar w:fldCharType="end"/>
            </w:r>
          </w:hyperlink>
        </w:p>
        <w:p>
          <w:pPr>
            <w:pStyle w:val="Contents2"/>
            <w:tabs>
              <w:tab w:val="left" w:pos="1701" w:leader="none"/>
              <w:tab w:val="right" w:pos="9639" w:leader="dot"/>
            </w:tabs>
            <w:rPr/>
          </w:pPr>
          <w:hyperlink w:anchor="_Toc88221148">
            <w:r>
              <w:rPr>
                <w:webHidden/>
                <w:rStyle w:val="IndexLink"/>
                <w:vanish w:val="false"/>
                <w:color w:val="000000"/>
              </w:rPr>
              <w:t>4.4</w:t>
            </w:r>
            <w:r>
              <w:rPr>
                <w:rStyle w:val="IndexLink"/>
                <w:rFonts w:cs="" w:ascii="Calibri" w:hAnsi="Calibri" w:asciiTheme="minorHAnsi" w:cstheme="minorBidi" w:hAnsiTheme="minorHAnsi"/>
                <w:color w:val="000000"/>
                <w:lang w:val="en-GB" w:eastAsia="en-GB"/>
              </w:rPr>
              <w:tab/>
            </w:r>
            <w:r>
              <w:rPr>
                <w:rStyle w:val="IndexLink"/>
                <w:color w:val="000000"/>
              </w:rPr>
              <w:t>By Vital Interest</w:t>
            </w:r>
            <w:r>
              <w:rPr>
                <w:webHidden/>
              </w:rPr>
              <w:fldChar w:fldCharType="begin"/>
            </w:r>
            <w:r>
              <w:rPr>
                <w:webHidden/>
              </w:rPr>
              <w:instrText xml:space="preserve">PAGEREF _Toc88221148 \h</w:instrText>
            </w:r>
            <w:r>
              <w:rPr>
                <w:webHidden/>
              </w:rPr>
              <w:fldChar w:fldCharType="separate"/>
            </w:r>
            <w:r>
              <w:rPr>
                <w:rStyle w:val="IndexLink"/>
                <w:vanish w:val="false"/>
                <w:color w:val="000000"/>
              </w:rPr>
              <w:tab/>
              <w:t>5</w:t>
            </w:r>
            <w:r>
              <w:rPr>
                <w:webHidden/>
              </w:rPr>
              <w:fldChar w:fldCharType="end"/>
            </w:r>
          </w:hyperlink>
        </w:p>
        <w:p>
          <w:pPr>
            <w:pStyle w:val="Contents2"/>
            <w:tabs>
              <w:tab w:val="left" w:pos="1701" w:leader="none"/>
              <w:tab w:val="right" w:pos="9639" w:leader="dot"/>
            </w:tabs>
            <w:rPr/>
          </w:pPr>
          <w:hyperlink w:anchor="_Toc88221149">
            <w:r>
              <w:rPr>
                <w:webHidden/>
                <w:rStyle w:val="IndexLink"/>
                <w:vanish w:val="false"/>
                <w:color w:val="000000"/>
              </w:rPr>
              <w:t>4.5</w:t>
            </w:r>
            <w:r>
              <w:rPr>
                <w:rStyle w:val="IndexLink"/>
                <w:rFonts w:cs="" w:ascii="Calibri" w:hAnsi="Calibri" w:asciiTheme="minorHAnsi" w:cstheme="minorBidi" w:hAnsiTheme="minorHAnsi"/>
                <w:color w:val="000000"/>
                <w:lang w:val="en-GB" w:eastAsia="en-GB"/>
              </w:rPr>
              <w:tab/>
            </w:r>
            <w:r>
              <w:rPr>
                <w:rStyle w:val="IndexLink"/>
                <w:color w:val="000000"/>
              </w:rPr>
              <w:t>By Public Task</w:t>
            </w:r>
            <w:r>
              <w:rPr>
                <w:webHidden/>
              </w:rPr>
              <w:fldChar w:fldCharType="begin"/>
            </w:r>
            <w:r>
              <w:rPr>
                <w:webHidden/>
              </w:rPr>
              <w:instrText xml:space="preserve">PAGEREF _Toc88221149 \h</w:instrText>
            </w:r>
            <w:r>
              <w:rPr>
                <w:webHidden/>
              </w:rPr>
              <w:fldChar w:fldCharType="separate"/>
            </w:r>
            <w:r>
              <w:rPr>
                <w:rStyle w:val="IndexLink"/>
                <w:vanish w:val="false"/>
                <w:color w:val="000000"/>
              </w:rPr>
              <w:tab/>
              <w:t>5</w:t>
            </w:r>
            <w:r>
              <w:rPr>
                <w:webHidden/>
              </w:rPr>
              <w:fldChar w:fldCharType="end"/>
            </w:r>
          </w:hyperlink>
        </w:p>
        <w:p>
          <w:pPr>
            <w:pStyle w:val="Contents2"/>
            <w:tabs>
              <w:tab w:val="left" w:pos="1701" w:leader="none"/>
              <w:tab w:val="right" w:pos="9639" w:leader="dot"/>
            </w:tabs>
            <w:rPr/>
          </w:pPr>
          <w:hyperlink w:anchor="_Toc88221150">
            <w:r>
              <w:rPr>
                <w:webHidden/>
                <w:rStyle w:val="IndexLink"/>
                <w:vanish w:val="false"/>
                <w:color w:val="000000"/>
              </w:rPr>
              <w:t>4.6</w:t>
            </w:r>
            <w:r>
              <w:rPr>
                <w:rStyle w:val="IndexLink"/>
                <w:rFonts w:cs="" w:ascii="Calibri" w:hAnsi="Calibri" w:asciiTheme="minorHAnsi" w:cstheme="minorBidi" w:hAnsiTheme="minorHAnsi"/>
                <w:color w:val="000000"/>
                <w:lang w:val="en-GB" w:eastAsia="en-GB"/>
              </w:rPr>
              <w:tab/>
            </w:r>
            <w:r>
              <w:rPr>
                <w:rStyle w:val="IndexLink"/>
                <w:color w:val="000000"/>
              </w:rPr>
              <w:t>Legitimate Interest</w:t>
            </w:r>
            <w:r>
              <w:rPr>
                <w:webHidden/>
              </w:rPr>
              <w:fldChar w:fldCharType="begin"/>
            </w:r>
            <w:r>
              <w:rPr>
                <w:webHidden/>
              </w:rPr>
              <w:instrText xml:space="preserve">PAGEREF _Toc88221150 \h</w:instrText>
            </w:r>
            <w:r>
              <w:rPr>
                <w:webHidden/>
              </w:rPr>
              <w:fldChar w:fldCharType="separate"/>
            </w:r>
            <w:r>
              <w:rPr>
                <w:rStyle w:val="IndexLink"/>
                <w:vanish w:val="false"/>
                <w:color w:val="000000"/>
              </w:rPr>
              <w:tab/>
              <w:t>5</w:t>
            </w:r>
            <w:r>
              <w:rPr>
                <w:webHidden/>
              </w:rPr>
              <w:fldChar w:fldCharType="end"/>
            </w:r>
          </w:hyperlink>
        </w:p>
        <w:p>
          <w:pPr>
            <w:pStyle w:val="Contents1"/>
            <w:rPr/>
          </w:pPr>
          <w:hyperlink w:anchor="_Toc88221151">
            <w:r>
              <w:rPr>
                <w:webHidden/>
                <w:rStyle w:val="IndexLink"/>
                <w:vanish w:val="false"/>
                <w:color w:val="000000"/>
              </w:rPr>
              <w:t>5.</w:t>
            </w:r>
            <w:r>
              <w:rPr>
                <w:rStyle w:val="IndexLink"/>
                <w:rFonts w:cs="" w:ascii="Calibri" w:hAnsi="Calibri" w:asciiTheme="minorHAnsi" w:cstheme="minorBidi" w:hAnsiTheme="minorHAnsi"/>
                <w:color w:val="000000"/>
                <w:sz w:val="22"/>
                <w:szCs w:val="22"/>
                <w:lang w:val="en-GB" w:eastAsia="en-GB"/>
              </w:rPr>
              <w:tab/>
            </w:r>
            <w:r>
              <w:rPr>
                <w:rStyle w:val="IndexLink"/>
                <w:color w:val="000000"/>
              </w:rPr>
              <w:t>Individual Rights</w:t>
            </w:r>
            <w:r>
              <w:rPr>
                <w:webHidden/>
              </w:rPr>
              <w:fldChar w:fldCharType="begin"/>
            </w:r>
            <w:r>
              <w:rPr>
                <w:webHidden/>
              </w:rPr>
              <w:instrText xml:space="preserve">PAGEREF _Toc88221151 \h</w:instrText>
            </w:r>
            <w:r>
              <w:rPr>
                <w:webHidden/>
              </w:rPr>
              <w:fldChar w:fldCharType="separate"/>
            </w:r>
            <w:r>
              <w:rPr>
                <w:rStyle w:val="IndexLink"/>
                <w:vanish w:val="false"/>
                <w:color w:val="000000"/>
              </w:rPr>
              <w:tab/>
              <w:t>5</w:t>
            </w:r>
            <w:r>
              <w:rPr>
                <w:webHidden/>
              </w:rPr>
              <w:fldChar w:fldCharType="end"/>
            </w:r>
          </w:hyperlink>
        </w:p>
        <w:p>
          <w:pPr>
            <w:pStyle w:val="Contents2"/>
            <w:tabs>
              <w:tab w:val="left" w:pos="1701" w:leader="none"/>
              <w:tab w:val="right" w:pos="9639" w:leader="dot"/>
            </w:tabs>
            <w:rPr/>
          </w:pPr>
          <w:hyperlink w:anchor="_Toc88221152">
            <w:r>
              <w:rPr>
                <w:webHidden/>
                <w:rStyle w:val="IndexLink"/>
                <w:vanish w:val="false"/>
                <w:color w:val="000000"/>
              </w:rPr>
              <w:t>5.1</w:t>
            </w:r>
            <w:r>
              <w:rPr>
                <w:rStyle w:val="IndexLink"/>
                <w:rFonts w:cs="" w:ascii="Calibri" w:hAnsi="Calibri" w:asciiTheme="minorHAnsi" w:cstheme="minorBidi" w:hAnsiTheme="minorHAnsi"/>
                <w:color w:val="000000"/>
                <w:lang w:val="en-GB" w:eastAsia="en-GB"/>
              </w:rPr>
              <w:tab/>
            </w:r>
            <w:r>
              <w:rPr>
                <w:rStyle w:val="IndexLink"/>
                <w:color w:val="000000"/>
              </w:rPr>
              <w:t>The right to be informed</w:t>
            </w:r>
            <w:r>
              <w:rPr>
                <w:webHidden/>
              </w:rPr>
              <w:fldChar w:fldCharType="begin"/>
            </w:r>
            <w:r>
              <w:rPr>
                <w:webHidden/>
              </w:rPr>
              <w:instrText xml:space="preserve">PAGEREF _Toc88221152 \h</w:instrText>
            </w:r>
            <w:r>
              <w:rPr>
                <w:webHidden/>
              </w:rPr>
              <w:fldChar w:fldCharType="separate"/>
            </w:r>
            <w:r>
              <w:rPr>
                <w:rStyle w:val="IndexLink"/>
                <w:vanish w:val="false"/>
                <w:color w:val="000000"/>
              </w:rPr>
              <w:tab/>
              <w:t>5</w:t>
            </w:r>
            <w:r>
              <w:rPr>
                <w:webHidden/>
              </w:rPr>
              <w:fldChar w:fldCharType="end"/>
            </w:r>
          </w:hyperlink>
        </w:p>
        <w:p>
          <w:pPr>
            <w:pStyle w:val="Contents2"/>
            <w:tabs>
              <w:tab w:val="left" w:pos="1701" w:leader="none"/>
              <w:tab w:val="right" w:pos="9639" w:leader="dot"/>
            </w:tabs>
            <w:rPr/>
          </w:pPr>
          <w:hyperlink w:anchor="_Toc88221153">
            <w:r>
              <w:rPr>
                <w:webHidden/>
                <w:rStyle w:val="IndexLink"/>
                <w:vanish w:val="false"/>
                <w:color w:val="000000"/>
              </w:rPr>
              <w:t>5.2</w:t>
            </w:r>
            <w:r>
              <w:rPr>
                <w:rStyle w:val="IndexLink"/>
                <w:rFonts w:cs="" w:ascii="Calibri" w:hAnsi="Calibri" w:asciiTheme="minorHAnsi" w:cstheme="minorBidi" w:hAnsiTheme="minorHAnsi"/>
                <w:color w:val="000000"/>
                <w:lang w:val="en-GB" w:eastAsia="en-GB"/>
              </w:rPr>
              <w:tab/>
            </w:r>
            <w:r>
              <w:rPr>
                <w:rStyle w:val="IndexLink"/>
                <w:color w:val="000000"/>
              </w:rPr>
              <w:t>The right of access</w:t>
            </w:r>
            <w:r>
              <w:rPr>
                <w:webHidden/>
              </w:rPr>
              <w:fldChar w:fldCharType="begin"/>
            </w:r>
            <w:r>
              <w:rPr>
                <w:webHidden/>
              </w:rPr>
              <w:instrText xml:space="preserve">PAGEREF _Toc88221153 \h</w:instrText>
            </w:r>
            <w:r>
              <w:rPr>
                <w:webHidden/>
              </w:rPr>
              <w:fldChar w:fldCharType="separate"/>
            </w:r>
            <w:r>
              <w:rPr>
                <w:rStyle w:val="IndexLink"/>
                <w:vanish w:val="false"/>
                <w:color w:val="000000"/>
              </w:rPr>
              <w:tab/>
              <w:t>6</w:t>
            </w:r>
            <w:r>
              <w:rPr>
                <w:webHidden/>
              </w:rPr>
              <w:fldChar w:fldCharType="end"/>
            </w:r>
          </w:hyperlink>
        </w:p>
        <w:p>
          <w:pPr>
            <w:pStyle w:val="Contents2"/>
            <w:tabs>
              <w:tab w:val="left" w:pos="1701" w:leader="none"/>
              <w:tab w:val="right" w:pos="9639" w:leader="dot"/>
            </w:tabs>
            <w:rPr/>
          </w:pPr>
          <w:hyperlink w:anchor="_Toc88221154">
            <w:r>
              <w:rPr>
                <w:webHidden/>
                <w:rStyle w:val="IndexLink"/>
                <w:vanish w:val="false"/>
                <w:color w:val="000000"/>
              </w:rPr>
              <w:t>5.3</w:t>
            </w:r>
            <w:r>
              <w:rPr>
                <w:rStyle w:val="IndexLink"/>
                <w:rFonts w:cs="" w:ascii="Calibri" w:hAnsi="Calibri" w:asciiTheme="minorHAnsi" w:cstheme="minorBidi" w:hAnsiTheme="minorHAnsi"/>
                <w:color w:val="000000"/>
                <w:lang w:val="en-GB" w:eastAsia="en-GB"/>
              </w:rPr>
              <w:tab/>
            </w:r>
            <w:r>
              <w:rPr>
                <w:rStyle w:val="IndexLink"/>
                <w:color w:val="000000"/>
              </w:rPr>
              <w:t>The right to rectification</w:t>
            </w:r>
            <w:r>
              <w:rPr>
                <w:webHidden/>
              </w:rPr>
              <w:fldChar w:fldCharType="begin"/>
            </w:r>
            <w:r>
              <w:rPr>
                <w:webHidden/>
              </w:rPr>
              <w:instrText xml:space="preserve">PAGEREF _Toc88221154 \h</w:instrText>
            </w:r>
            <w:r>
              <w:rPr>
                <w:webHidden/>
              </w:rPr>
              <w:fldChar w:fldCharType="separate"/>
            </w:r>
            <w:r>
              <w:rPr>
                <w:rStyle w:val="IndexLink"/>
                <w:vanish w:val="false"/>
                <w:color w:val="000000"/>
              </w:rPr>
              <w:tab/>
              <w:t>6</w:t>
            </w:r>
            <w:r>
              <w:rPr>
                <w:webHidden/>
              </w:rPr>
              <w:fldChar w:fldCharType="end"/>
            </w:r>
          </w:hyperlink>
        </w:p>
        <w:p>
          <w:pPr>
            <w:pStyle w:val="Contents2"/>
            <w:tabs>
              <w:tab w:val="left" w:pos="1701" w:leader="none"/>
              <w:tab w:val="right" w:pos="9639" w:leader="dot"/>
            </w:tabs>
            <w:rPr/>
          </w:pPr>
          <w:hyperlink w:anchor="_Toc88221155">
            <w:r>
              <w:rPr>
                <w:webHidden/>
                <w:rStyle w:val="IndexLink"/>
                <w:vanish w:val="false"/>
                <w:color w:val="000000"/>
              </w:rPr>
              <w:t>5.4</w:t>
            </w:r>
            <w:r>
              <w:rPr>
                <w:rStyle w:val="IndexLink"/>
                <w:rFonts w:cs="" w:ascii="Calibri" w:hAnsi="Calibri" w:asciiTheme="minorHAnsi" w:cstheme="minorBidi" w:hAnsiTheme="minorHAnsi"/>
                <w:color w:val="000000"/>
                <w:lang w:val="en-GB" w:eastAsia="en-GB"/>
              </w:rPr>
              <w:tab/>
            </w:r>
            <w:r>
              <w:rPr>
                <w:rStyle w:val="IndexLink"/>
                <w:color w:val="000000"/>
              </w:rPr>
              <w:t>The right to erase  {The right to be forgotten}</w:t>
            </w:r>
            <w:r>
              <w:rPr>
                <w:webHidden/>
              </w:rPr>
              <w:fldChar w:fldCharType="begin"/>
            </w:r>
            <w:r>
              <w:rPr>
                <w:webHidden/>
              </w:rPr>
              <w:instrText xml:space="preserve">PAGEREF _Toc88221155 \h</w:instrText>
            </w:r>
            <w:r>
              <w:rPr>
                <w:webHidden/>
              </w:rPr>
              <w:fldChar w:fldCharType="separate"/>
            </w:r>
            <w:r>
              <w:rPr>
                <w:rStyle w:val="IndexLink"/>
                <w:vanish w:val="false"/>
                <w:color w:val="000000"/>
              </w:rPr>
              <w:tab/>
              <w:t>6</w:t>
            </w:r>
            <w:r>
              <w:rPr>
                <w:webHidden/>
              </w:rPr>
              <w:fldChar w:fldCharType="end"/>
            </w:r>
          </w:hyperlink>
        </w:p>
        <w:p>
          <w:pPr>
            <w:pStyle w:val="Contents2"/>
            <w:tabs>
              <w:tab w:val="left" w:pos="1701" w:leader="none"/>
              <w:tab w:val="right" w:pos="9639" w:leader="dot"/>
            </w:tabs>
            <w:rPr/>
          </w:pPr>
          <w:hyperlink w:anchor="_Toc88221156">
            <w:r>
              <w:rPr>
                <w:webHidden/>
                <w:rStyle w:val="IndexLink"/>
                <w:vanish w:val="false"/>
                <w:color w:val="000000"/>
              </w:rPr>
              <w:t>5.5</w:t>
            </w:r>
            <w:r>
              <w:rPr>
                <w:rStyle w:val="IndexLink"/>
                <w:rFonts w:cs="" w:ascii="Calibri" w:hAnsi="Calibri" w:asciiTheme="minorHAnsi" w:cstheme="minorBidi" w:hAnsiTheme="minorHAnsi"/>
                <w:color w:val="000000"/>
                <w:lang w:val="en-GB" w:eastAsia="en-GB"/>
              </w:rPr>
              <w:tab/>
            </w:r>
            <w:r>
              <w:rPr>
                <w:rStyle w:val="IndexLink"/>
                <w:color w:val="000000"/>
              </w:rPr>
              <w:t>The right to restrict processing</w:t>
            </w:r>
            <w:r>
              <w:rPr>
                <w:webHidden/>
              </w:rPr>
              <w:fldChar w:fldCharType="begin"/>
            </w:r>
            <w:r>
              <w:rPr>
                <w:webHidden/>
              </w:rPr>
              <w:instrText xml:space="preserve">PAGEREF _Toc88221156 \h</w:instrText>
            </w:r>
            <w:r>
              <w:rPr>
                <w:webHidden/>
              </w:rPr>
              <w:fldChar w:fldCharType="separate"/>
            </w:r>
            <w:r>
              <w:rPr>
                <w:rStyle w:val="IndexLink"/>
                <w:vanish w:val="false"/>
                <w:color w:val="000000"/>
              </w:rPr>
              <w:tab/>
              <w:t>6</w:t>
            </w:r>
            <w:r>
              <w:rPr>
                <w:webHidden/>
              </w:rPr>
              <w:fldChar w:fldCharType="end"/>
            </w:r>
          </w:hyperlink>
        </w:p>
        <w:p>
          <w:pPr>
            <w:pStyle w:val="Contents2"/>
            <w:tabs>
              <w:tab w:val="left" w:pos="1701" w:leader="none"/>
              <w:tab w:val="right" w:pos="9639" w:leader="dot"/>
            </w:tabs>
            <w:rPr/>
          </w:pPr>
          <w:hyperlink w:anchor="_Toc88221157">
            <w:r>
              <w:rPr>
                <w:webHidden/>
                <w:rStyle w:val="IndexLink"/>
                <w:vanish w:val="false"/>
                <w:color w:val="000000"/>
              </w:rPr>
              <w:t>5.6</w:t>
            </w:r>
            <w:r>
              <w:rPr>
                <w:rStyle w:val="IndexLink"/>
                <w:rFonts w:cs="" w:ascii="Calibri" w:hAnsi="Calibri" w:asciiTheme="minorHAnsi" w:cstheme="minorBidi" w:hAnsiTheme="minorHAnsi"/>
                <w:color w:val="000000"/>
                <w:lang w:val="en-GB" w:eastAsia="en-GB"/>
              </w:rPr>
              <w:tab/>
            </w:r>
            <w:r>
              <w:rPr>
                <w:rStyle w:val="IndexLink"/>
                <w:color w:val="000000"/>
              </w:rPr>
              <w:t>The right to data portability</w:t>
            </w:r>
            <w:r>
              <w:rPr>
                <w:webHidden/>
              </w:rPr>
              <w:fldChar w:fldCharType="begin"/>
            </w:r>
            <w:r>
              <w:rPr>
                <w:webHidden/>
              </w:rPr>
              <w:instrText xml:space="preserve">PAGEREF _Toc88221157 \h</w:instrText>
            </w:r>
            <w:r>
              <w:rPr>
                <w:webHidden/>
              </w:rPr>
              <w:fldChar w:fldCharType="separate"/>
            </w:r>
            <w:r>
              <w:rPr>
                <w:rStyle w:val="IndexLink"/>
                <w:vanish w:val="false"/>
                <w:color w:val="000000"/>
              </w:rPr>
              <w:tab/>
              <w:t>6</w:t>
            </w:r>
            <w:r>
              <w:rPr>
                <w:webHidden/>
              </w:rPr>
              <w:fldChar w:fldCharType="end"/>
            </w:r>
          </w:hyperlink>
        </w:p>
        <w:p>
          <w:pPr>
            <w:pStyle w:val="Contents2"/>
            <w:tabs>
              <w:tab w:val="left" w:pos="1701" w:leader="none"/>
              <w:tab w:val="right" w:pos="9639" w:leader="dot"/>
            </w:tabs>
            <w:rPr/>
          </w:pPr>
          <w:hyperlink w:anchor="_Toc88221158">
            <w:r>
              <w:rPr>
                <w:webHidden/>
                <w:rStyle w:val="IndexLink"/>
                <w:vanish w:val="false"/>
                <w:color w:val="000000"/>
              </w:rPr>
              <w:t>5.7</w:t>
            </w:r>
            <w:r>
              <w:rPr>
                <w:rStyle w:val="IndexLink"/>
                <w:rFonts w:cs="" w:ascii="Calibri" w:hAnsi="Calibri" w:asciiTheme="minorHAnsi" w:cstheme="minorBidi" w:hAnsiTheme="minorHAnsi"/>
                <w:color w:val="000000"/>
                <w:lang w:val="en-GB" w:eastAsia="en-GB"/>
              </w:rPr>
              <w:tab/>
            </w:r>
            <w:r>
              <w:rPr>
                <w:rStyle w:val="IndexLink"/>
                <w:color w:val="000000"/>
              </w:rPr>
              <w:t>The right to object</w:t>
            </w:r>
            <w:r>
              <w:rPr>
                <w:webHidden/>
              </w:rPr>
              <w:fldChar w:fldCharType="begin"/>
            </w:r>
            <w:r>
              <w:rPr>
                <w:webHidden/>
              </w:rPr>
              <w:instrText xml:space="preserve">PAGEREF _Toc88221158 \h</w:instrText>
            </w:r>
            <w:r>
              <w:rPr>
                <w:webHidden/>
              </w:rPr>
              <w:fldChar w:fldCharType="separate"/>
            </w:r>
            <w:r>
              <w:rPr>
                <w:rStyle w:val="IndexLink"/>
                <w:vanish w:val="false"/>
                <w:color w:val="000000"/>
              </w:rPr>
              <w:tab/>
              <w:t>6</w:t>
            </w:r>
            <w:r>
              <w:rPr>
                <w:webHidden/>
              </w:rPr>
              <w:fldChar w:fldCharType="end"/>
            </w:r>
          </w:hyperlink>
        </w:p>
        <w:p>
          <w:pPr>
            <w:pStyle w:val="Contents2"/>
            <w:tabs>
              <w:tab w:val="left" w:pos="1701" w:leader="none"/>
              <w:tab w:val="right" w:pos="9639" w:leader="dot"/>
            </w:tabs>
            <w:rPr/>
          </w:pPr>
          <w:hyperlink w:anchor="_Toc88221159">
            <w:r>
              <w:rPr>
                <w:webHidden/>
                <w:rStyle w:val="IndexLink"/>
                <w:vanish w:val="false"/>
                <w:color w:val="000000"/>
              </w:rPr>
              <w:t>5.8</w:t>
            </w:r>
            <w:r>
              <w:rPr>
                <w:rStyle w:val="IndexLink"/>
                <w:rFonts w:cs="" w:ascii="Calibri" w:hAnsi="Calibri" w:asciiTheme="minorHAnsi" w:cstheme="minorBidi" w:hAnsiTheme="minorHAnsi"/>
                <w:color w:val="000000"/>
                <w:lang w:val="en-GB" w:eastAsia="en-GB"/>
              </w:rPr>
              <w:tab/>
            </w:r>
            <w:r>
              <w:rPr>
                <w:rStyle w:val="IndexLink"/>
                <w:color w:val="000000"/>
              </w:rPr>
              <w:t>Rights in relation to automated decision making and profiling</w:t>
            </w:r>
            <w:r>
              <w:rPr>
                <w:webHidden/>
              </w:rPr>
              <w:fldChar w:fldCharType="begin"/>
            </w:r>
            <w:r>
              <w:rPr>
                <w:webHidden/>
              </w:rPr>
              <w:instrText xml:space="preserve">PAGEREF _Toc88221159 \h</w:instrText>
            </w:r>
            <w:r>
              <w:rPr>
                <w:webHidden/>
              </w:rPr>
              <w:fldChar w:fldCharType="separate"/>
            </w:r>
            <w:r>
              <w:rPr>
                <w:rStyle w:val="IndexLink"/>
                <w:vanish w:val="false"/>
                <w:color w:val="000000"/>
              </w:rPr>
              <w:tab/>
              <w:t>7</w:t>
            </w:r>
            <w:r>
              <w:rPr>
                <w:webHidden/>
              </w:rPr>
              <w:fldChar w:fldCharType="end"/>
            </w:r>
          </w:hyperlink>
        </w:p>
        <w:p>
          <w:pPr>
            <w:pStyle w:val="Contents1"/>
            <w:rPr/>
          </w:pPr>
          <w:hyperlink w:anchor="_Toc88221160">
            <w:r>
              <w:rPr>
                <w:webHidden/>
                <w:rStyle w:val="IndexLink"/>
                <w:vanish w:val="false"/>
                <w:color w:val="000000"/>
              </w:rPr>
              <w:t>6.</w:t>
            </w:r>
            <w:r>
              <w:rPr>
                <w:rStyle w:val="IndexLink"/>
                <w:rFonts w:cs="" w:ascii="Calibri" w:hAnsi="Calibri" w:asciiTheme="minorHAnsi" w:cstheme="minorBidi" w:hAnsiTheme="minorHAnsi"/>
                <w:color w:val="000000"/>
                <w:sz w:val="22"/>
                <w:szCs w:val="22"/>
                <w:lang w:val="en-GB" w:eastAsia="en-GB"/>
              </w:rPr>
              <w:tab/>
            </w:r>
            <w:r>
              <w:rPr>
                <w:rStyle w:val="IndexLink"/>
                <w:color w:val="000000"/>
              </w:rPr>
              <w:t>Operational Policies &amp; Procedures – The Context</w:t>
            </w:r>
            <w:r>
              <w:rPr>
                <w:webHidden/>
              </w:rPr>
              <w:fldChar w:fldCharType="begin"/>
            </w:r>
            <w:r>
              <w:rPr>
                <w:webHidden/>
              </w:rPr>
              <w:instrText xml:space="preserve">PAGEREF _Toc88221160 \h</w:instrText>
            </w:r>
            <w:r>
              <w:rPr>
                <w:webHidden/>
              </w:rPr>
              <w:fldChar w:fldCharType="separate"/>
            </w:r>
            <w:r>
              <w:rPr>
                <w:rStyle w:val="IndexLink"/>
                <w:vanish w:val="false"/>
                <w:color w:val="000000"/>
              </w:rPr>
              <w:tab/>
              <w:t>7</w:t>
            </w:r>
            <w:r>
              <w:rPr>
                <w:webHidden/>
              </w:rPr>
              <w:fldChar w:fldCharType="end"/>
            </w:r>
          </w:hyperlink>
        </w:p>
        <w:p>
          <w:pPr>
            <w:pStyle w:val="Contents1"/>
            <w:rPr/>
          </w:pPr>
          <w:hyperlink w:anchor="_Toc88221161">
            <w:r>
              <w:rPr>
                <w:webHidden/>
                <w:rStyle w:val="IndexLink"/>
                <w:vanish w:val="false"/>
                <w:color w:val="000000"/>
              </w:rPr>
              <w:t>7.</w:t>
            </w:r>
            <w:r>
              <w:rPr>
                <w:rStyle w:val="IndexLink"/>
                <w:rFonts w:cs="" w:ascii="Calibri" w:hAnsi="Calibri" w:asciiTheme="minorHAnsi" w:cstheme="minorBidi" w:hAnsiTheme="minorHAnsi"/>
                <w:color w:val="000000"/>
                <w:sz w:val="22"/>
                <w:szCs w:val="22"/>
                <w:lang w:val="en-GB" w:eastAsia="en-GB"/>
              </w:rPr>
              <w:tab/>
            </w:r>
            <w:r>
              <w:rPr>
                <w:rStyle w:val="IndexLink"/>
                <w:color w:val="000000"/>
              </w:rPr>
              <w:t>Personnel</w:t>
            </w:r>
            <w:r>
              <w:rPr>
                <w:webHidden/>
              </w:rPr>
              <w:fldChar w:fldCharType="begin"/>
            </w:r>
            <w:r>
              <w:rPr>
                <w:webHidden/>
              </w:rPr>
              <w:instrText xml:space="preserve">PAGEREF _Toc88221161 \h</w:instrText>
            </w:r>
            <w:r>
              <w:rPr>
                <w:webHidden/>
              </w:rPr>
              <w:fldChar w:fldCharType="separate"/>
            </w:r>
            <w:r>
              <w:rPr>
                <w:rStyle w:val="IndexLink"/>
                <w:vanish w:val="false"/>
                <w:color w:val="000000"/>
              </w:rPr>
              <w:tab/>
              <w:t>7</w:t>
            </w:r>
            <w:r>
              <w:rPr>
                <w:webHidden/>
              </w:rPr>
              <w:fldChar w:fldCharType="end"/>
            </w:r>
          </w:hyperlink>
        </w:p>
        <w:p>
          <w:pPr>
            <w:pStyle w:val="Contents2"/>
            <w:tabs>
              <w:tab w:val="left" w:pos="1701" w:leader="none"/>
              <w:tab w:val="right" w:pos="9639" w:leader="dot"/>
            </w:tabs>
            <w:rPr/>
          </w:pPr>
          <w:hyperlink w:anchor="_Toc88221162">
            <w:r>
              <w:rPr>
                <w:webHidden/>
                <w:rStyle w:val="IndexLink"/>
                <w:vanish w:val="false"/>
                <w:color w:val="000000"/>
              </w:rPr>
              <w:t>7.1</w:t>
            </w:r>
            <w:r>
              <w:rPr>
                <w:rStyle w:val="IndexLink"/>
                <w:rFonts w:cs="" w:ascii="Calibri" w:hAnsi="Calibri" w:asciiTheme="minorHAnsi" w:cstheme="minorBidi" w:hAnsiTheme="minorHAnsi"/>
                <w:color w:val="000000"/>
                <w:lang w:val="en-GB" w:eastAsia="en-GB"/>
              </w:rPr>
              <w:tab/>
            </w:r>
            <w:r>
              <w:rPr>
                <w:rStyle w:val="IndexLink"/>
                <w:color w:val="000000"/>
              </w:rPr>
              <w:t>Data Protection Officer</w:t>
            </w:r>
            <w:r>
              <w:rPr>
                <w:webHidden/>
              </w:rPr>
              <w:fldChar w:fldCharType="begin"/>
            </w:r>
            <w:r>
              <w:rPr>
                <w:webHidden/>
              </w:rPr>
              <w:instrText xml:space="preserve">PAGEREF _Toc88221162 \h</w:instrText>
            </w:r>
            <w:r>
              <w:rPr>
                <w:webHidden/>
              </w:rPr>
              <w:fldChar w:fldCharType="separate"/>
            </w:r>
            <w:r>
              <w:rPr>
                <w:rStyle w:val="IndexLink"/>
                <w:vanish w:val="false"/>
                <w:color w:val="000000"/>
              </w:rPr>
              <w:tab/>
              <w:t>7</w:t>
            </w:r>
            <w:r>
              <w:rPr>
                <w:webHidden/>
              </w:rPr>
              <w:fldChar w:fldCharType="end"/>
            </w:r>
          </w:hyperlink>
        </w:p>
        <w:p>
          <w:pPr>
            <w:pStyle w:val="Contents2"/>
            <w:tabs>
              <w:tab w:val="left" w:pos="1701" w:leader="none"/>
              <w:tab w:val="right" w:pos="9639" w:leader="dot"/>
            </w:tabs>
            <w:rPr/>
          </w:pPr>
          <w:hyperlink w:anchor="_Toc88221163">
            <w:r>
              <w:rPr>
                <w:webHidden/>
                <w:rStyle w:val="IndexLink"/>
                <w:vanish w:val="false"/>
                <w:color w:val="000000"/>
              </w:rPr>
              <w:t>7.2</w:t>
            </w:r>
            <w:r>
              <w:rPr>
                <w:rStyle w:val="IndexLink"/>
                <w:rFonts w:cs="" w:ascii="Calibri" w:hAnsi="Calibri" w:asciiTheme="minorHAnsi" w:cstheme="minorBidi" w:hAnsiTheme="minorHAnsi"/>
                <w:color w:val="000000"/>
                <w:lang w:val="en-GB" w:eastAsia="en-GB"/>
              </w:rPr>
              <w:tab/>
            </w:r>
            <w:r>
              <w:rPr>
                <w:rStyle w:val="IndexLink"/>
                <w:color w:val="000000"/>
              </w:rPr>
              <w:t>Data Controller</w:t>
            </w:r>
            <w:r>
              <w:rPr>
                <w:webHidden/>
              </w:rPr>
              <w:fldChar w:fldCharType="begin"/>
            </w:r>
            <w:r>
              <w:rPr>
                <w:webHidden/>
              </w:rPr>
              <w:instrText xml:space="preserve">PAGEREF _Toc88221163 \h</w:instrText>
            </w:r>
            <w:r>
              <w:rPr>
                <w:webHidden/>
              </w:rPr>
              <w:fldChar w:fldCharType="separate"/>
            </w:r>
            <w:r>
              <w:rPr>
                <w:rStyle w:val="IndexLink"/>
                <w:vanish w:val="false"/>
                <w:color w:val="000000"/>
              </w:rPr>
              <w:tab/>
              <w:t>7</w:t>
            </w:r>
            <w:r>
              <w:rPr>
                <w:webHidden/>
              </w:rPr>
              <w:fldChar w:fldCharType="end"/>
            </w:r>
          </w:hyperlink>
        </w:p>
        <w:p>
          <w:pPr>
            <w:pStyle w:val="Contents2"/>
            <w:tabs>
              <w:tab w:val="left" w:pos="1701" w:leader="none"/>
              <w:tab w:val="right" w:pos="9639" w:leader="dot"/>
            </w:tabs>
            <w:rPr/>
          </w:pPr>
          <w:hyperlink w:anchor="_Toc88221164">
            <w:r>
              <w:rPr>
                <w:webHidden/>
                <w:rStyle w:val="IndexLink"/>
                <w:vanish w:val="false"/>
                <w:color w:val="000000"/>
              </w:rPr>
              <w:t>7.3</w:t>
            </w:r>
            <w:r>
              <w:rPr>
                <w:rStyle w:val="IndexLink"/>
                <w:rFonts w:cs="" w:ascii="Calibri" w:hAnsi="Calibri" w:asciiTheme="minorHAnsi" w:cstheme="minorBidi" w:hAnsiTheme="minorHAnsi"/>
                <w:color w:val="000000"/>
                <w:lang w:val="en-GB" w:eastAsia="en-GB"/>
              </w:rPr>
              <w:tab/>
            </w:r>
            <w:r>
              <w:rPr>
                <w:rStyle w:val="IndexLink"/>
                <w:color w:val="000000"/>
              </w:rPr>
              <w:t>Data Processor</w:t>
            </w:r>
            <w:r>
              <w:rPr>
                <w:webHidden/>
              </w:rPr>
              <w:fldChar w:fldCharType="begin"/>
            </w:r>
            <w:r>
              <w:rPr>
                <w:webHidden/>
              </w:rPr>
              <w:instrText xml:space="preserve">PAGEREF _Toc88221164 \h</w:instrText>
            </w:r>
            <w:r>
              <w:rPr>
                <w:webHidden/>
              </w:rPr>
              <w:fldChar w:fldCharType="separate"/>
            </w:r>
            <w:r>
              <w:rPr>
                <w:rStyle w:val="IndexLink"/>
                <w:vanish w:val="false"/>
                <w:color w:val="000000"/>
              </w:rPr>
              <w:tab/>
              <w:t>7</w:t>
            </w:r>
            <w:r>
              <w:rPr>
                <w:webHidden/>
              </w:rPr>
              <w:fldChar w:fldCharType="end"/>
            </w:r>
          </w:hyperlink>
        </w:p>
        <w:p>
          <w:pPr>
            <w:pStyle w:val="Contents2"/>
            <w:tabs>
              <w:tab w:val="left" w:pos="1701" w:leader="none"/>
              <w:tab w:val="right" w:pos="9639" w:leader="dot"/>
            </w:tabs>
            <w:rPr/>
          </w:pPr>
          <w:hyperlink w:anchor="_Toc88221165">
            <w:r>
              <w:rPr>
                <w:webHidden/>
                <w:rStyle w:val="IndexLink"/>
                <w:vanish w:val="false"/>
                <w:color w:val="000000"/>
              </w:rPr>
              <w:t>7.4</w:t>
            </w:r>
            <w:r>
              <w:rPr>
                <w:rStyle w:val="IndexLink"/>
                <w:rFonts w:cs="" w:ascii="Calibri" w:hAnsi="Calibri" w:asciiTheme="minorHAnsi" w:cstheme="minorBidi" w:hAnsiTheme="minorHAnsi"/>
                <w:color w:val="000000"/>
                <w:lang w:val="en-GB" w:eastAsia="en-GB"/>
              </w:rPr>
              <w:tab/>
            </w:r>
            <w:r>
              <w:rPr>
                <w:rStyle w:val="IndexLink"/>
                <w:color w:val="000000"/>
              </w:rPr>
              <w:t>Access to Data</w:t>
            </w:r>
            <w:r>
              <w:rPr>
                <w:webHidden/>
              </w:rPr>
              <w:fldChar w:fldCharType="begin"/>
            </w:r>
            <w:r>
              <w:rPr>
                <w:webHidden/>
              </w:rPr>
              <w:instrText xml:space="preserve">PAGEREF _Toc88221165 \h</w:instrText>
            </w:r>
            <w:r>
              <w:rPr>
                <w:webHidden/>
              </w:rPr>
              <w:fldChar w:fldCharType="separate"/>
            </w:r>
            <w:r>
              <w:rPr>
                <w:rStyle w:val="IndexLink"/>
                <w:vanish w:val="false"/>
                <w:color w:val="000000"/>
              </w:rPr>
              <w:tab/>
              <w:t>8</w:t>
            </w:r>
            <w:r>
              <w:rPr>
                <w:webHidden/>
              </w:rPr>
              <w:fldChar w:fldCharType="end"/>
            </w:r>
          </w:hyperlink>
        </w:p>
        <w:p>
          <w:pPr>
            <w:pStyle w:val="Contents2"/>
            <w:tabs>
              <w:tab w:val="left" w:pos="1701" w:leader="none"/>
              <w:tab w:val="right" w:pos="9639" w:leader="dot"/>
            </w:tabs>
            <w:rPr/>
          </w:pPr>
          <w:hyperlink w:anchor="_Toc88221166">
            <w:r>
              <w:rPr>
                <w:webHidden/>
                <w:rStyle w:val="IndexLink"/>
                <w:vanish w:val="false"/>
                <w:color w:val="000000"/>
              </w:rPr>
              <w:t>7.5</w:t>
            </w:r>
            <w:r>
              <w:rPr>
                <w:rStyle w:val="IndexLink"/>
                <w:rFonts w:cs="" w:ascii="Calibri" w:hAnsi="Calibri" w:asciiTheme="minorHAnsi" w:cstheme="minorBidi" w:hAnsiTheme="minorHAnsi"/>
                <w:color w:val="000000"/>
                <w:lang w:val="en-GB" w:eastAsia="en-GB"/>
              </w:rPr>
              <w:tab/>
            </w:r>
            <w:r>
              <w:rPr>
                <w:rStyle w:val="IndexLink"/>
                <w:color w:val="000000"/>
              </w:rPr>
              <w:t>Training</w:t>
            </w:r>
            <w:r>
              <w:rPr>
                <w:webHidden/>
              </w:rPr>
              <w:fldChar w:fldCharType="begin"/>
            </w:r>
            <w:r>
              <w:rPr>
                <w:webHidden/>
              </w:rPr>
              <w:instrText xml:space="preserve">PAGEREF _Toc88221166 \h</w:instrText>
            </w:r>
            <w:r>
              <w:rPr>
                <w:webHidden/>
              </w:rPr>
              <w:fldChar w:fldCharType="separate"/>
            </w:r>
            <w:r>
              <w:rPr>
                <w:rStyle w:val="IndexLink"/>
                <w:vanish w:val="false"/>
                <w:color w:val="000000"/>
              </w:rPr>
              <w:tab/>
              <w:t>8</w:t>
            </w:r>
            <w:r>
              <w:rPr>
                <w:webHidden/>
              </w:rPr>
              <w:fldChar w:fldCharType="end"/>
            </w:r>
          </w:hyperlink>
        </w:p>
        <w:p>
          <w:pPr>
            <w:pStyle w:val="Contents1"/>
            <w:rPr/>
          </w:pPr>
          <w:hyperlink w:anchor="_Toc88221167">
            <w:r>
              <w:rPr>
                <w:webHidden/>
                <w:rStyle w:val="IndexLink"/>
                <w:vanish w:val="false"/>
                <w:color w:val="000000"/>
              </w:rPr>
              <w:t>8.</w:t>
            </w:r>
            <w:r>
              <w:rPr>
                <w:rStyle w:val="IndexLink"/>
                <w:rFonts w:cs="" w:ascii="Calibri" w:hAnsi="Calibri" w:asciiTheme="minorHAnsi" w:cstheme="minorBidi" w:hAnsiTheme="minorHAnsi"/>
                <w:color w:val="000000"/>
                <w:sz w:val="22"/>
                <w:szCs w:val="22"/>
                <w:lang w:val="en-GB" w:eastAsia="en-GB"/>
              </w:rPr>
              <w:tab/>
            </w:r>
            <w:r>
              <w:rPr>
                <w:rStyle w:val="IndexLink"/>
                <w:color w:val="000000"/>
              </w:rPr>
              <w:t>Collecting &amp; Processing Personal Data</w:t>
            </w:r>
            <w:r>
              <w:rPr>
                <w:webHidden/>
              </w:rPr>
              <w:fldChar w:fldCharType="begin"/>
            </w:r>
            <w:r>
              <w:rPr>
                <w:webHidden/>
              </w:rPr>
              <w:instrText xml:space="preserve">PAGEREF _Toc88221167 \h</w:instrText>
            </w:r>
            <w:r>
              <w:rPr>
                <w:webHidden/>
              </w:rPr>
              <w:fldChar w:fldCharType="separate"/>
            </w:r>
            <w:r>
              <w:rPr>
                <w:rStyle w:val="IndexLink"/>
                <w:vanish w:val="false"/>
                <w:color w:val="000000"/>
              </w:rPr>
              <w:tab/>
              <w:t>8</w:t>
            </w:r>
            <w:r>
              <w:rPr>
                <w:webHidden/>
              </w:rPr>
              <w:fldChar w:fldCharType="end"/>
            </w:r>
          </w:hyperlink>
        </w:p>
        <w:p>
          <w:pPr>
            <w:pStyle w:val="Contents1"/>
            <w:rPr/>
          </w:pPr>
          <w:hyperlink w:anchor="_Toc88221168">
            <w:r>
              <w:rPr>
                <w:webHidden/>
                <w:rStyle w:val="IndexLink"/>
                <w:vanish w:val="false"/>
                <w:color w:val="000000"/>
              </w:rPr>
              <w:t>9.</w:t>
            </w:r>
            <w:r>
              <w:rPr>
                <w:rStyle w:val="IndexLink"/>
                <w:rFonts w:cs="" w:ascii="Calibri" w:hAnsi="Calibri" w:asciiTheme="minorHAnsi" w:cstheme="minorBidi" w:hAnsiTheme="minorHAnsi"/>
                <w:color w:val="000000"/>
                <w:sz w:val="22"/>
                <w:szCs w:val="22"/>
                <w:lang w:val="en-GB" w:eastAsia="en-GB"/>
              </w:rPr>
              <w:tab/>
            </w:r>
            <w:r>
              <w:rPr>
                <w:rStyle w:val="IndexLink"/>
                <w:color w:val="000000"/>
              </w:rPr>
              <w:t>Information Technology</w:t>
            </w:r>
            <w:r>
              <w:rPr>
                <w:webHidden/>
              </w:rPr>
              <w:fldChar w:fldCharType="begin"/>
            </w:r>
            <w:r>
              <w:rPr>
                <w:webHidden/>
              </w:rPr>
              <w:instrText xml:space="preserve">PAGEREF _Toc88221168 \h</w:instrText>
            </w:r>
            <w:r>
              <w:rPr>
                <w:webHidden/>
              </w:rPr>
              <w:fldChar w:fldCharType="separate"/>
            </w:r>
            <w:r>
              <w:rPr>
                <w:rStyle w:val="IndexLink"/>
                <w:vanish w:val="false"/>
                <w:color w:val="000000"/>
              </w:rPr>
              <w:tab/>
              <w:t>8</w:t>
            </w:r>
            <w:r>
              <w:rPr>
                <w:webHidden/>
              </w:rPr>
              <w:fldChar w:fldCharType="end"/>
            </w:r>
          </w:hyperlink>
        </w:p>
        <w:p>
          <w:pPr>
            <w:pStyle w:val="Contents2"/>
            <w:tabs>
              <w:tab w:val="left" w:pos="1701" w:leader="none"/>
              <w:tab w:val="right" w:pos="9639" w:leader="dot"/>
            </w:tabs>
            <w:rPr/>
          </w:pPr>
          <w:hyperlink w:anchor="_Toc88221169">
            <w:r>
              <w:rPr>
                <w:webHidden/>
                <w:rStyle w:val="IndexLink"/>
                <w:vanish w:val="false"/>
                <w:color w:val="000000"/>
              </w:rPr>
              <w:t>9.1</w:t>
            </w:r>
            <w:r>
              <w:rPr>
                <w:rStyle w:val="IndexLink"/>
                <w:rFonts w:cs="" w:ascii="Calibri" w:hAnsi="Calibri" w:asciiTheme="minorHAnsi" w:cstheme="minorBidi" w:hAnsiTheme="minorHAnsi"/>
                <w:color w:val="000000"/>
                <w:lang w:val="en-GB" w:eastAsia="en-GB"/>
              </w:rPr>
              <w:tab/>
            </w:r>
            <w:r>
              <w:rPr>
                <w:rStyle w:val="IndexLink"/>
                <w:color w:val="000000"/>
              </w:rPr>
              <w:t>Data Protection by Design/Default</w:t>
            </w:r>
            <w:r>
              <w:rPr>
                <w:webHidden/>
              </w:rPr>
              <w:fldChar w:fldCharType="begin"/>
            </w:r>
            <w:r>
              <w:rPr>
                <w:webHidden/>
              </w:rPr>
              <w:instrText xml:space="preserve">PAGEREF _Toc88221169 \h</w:instrText>
            </w:r>
            <w:r>
              <w:rPr>
                <w:webHidden/>
              </w:rPr>
              <w:fldChar w:fldCharType="separate"/>
            </w:r>
            <w:r>
              <w:rPr>
                <w:rStyle w:val="IndexLink"/>
                <w:vanish w:val="false"/>
                <w:color w:val="000000"/>
              </w:rPr>
              <w:tab/>
              <w:t>8</w:t>
            </w:r>
            <w:r>
              <w:rPr>
                <w:webHidden/>
              </w:rPr>
              <w:fldChar w:fldCharType="end"/>
            </w:r>
          </w:hyperlink>
        </w:p>
        <w:p>
          <w:pPr>
            <w:pStyle w:val="Contents2"/>
            <w:tabs>
              <w:tab w:val="left" w:pos="1701" w:leader="none"/>
              <w:tab w:val="right" w:pos="9639" w:leader="dot"/>
            </w:tabs>
            <w:rPr/>
          </w:pPr>
          <w:hyperlink w:anchor="_Toc88221170">
            <w:r>
              <w:rPr>
                <w:webHidden/>
                <w:rStyle w:val="IndexLink"/>
                <w:vanish w:val="false"/>
                <w:color w:val="000000"/>
              </w:rPr>
              <w:t>9.2</w:t>
            </w:r>
            <w:r>
              <w:rPr>
                <w:rStyle w:val="IndexLink"/>
                <w:rFonts w:cs="" w:ascii="Calibri" w:hAnsi="Calibri" w:asciiTheme="minorHAnsi" w:cstheme="minorBidi" w:hAnsiTheme="minorHAnsi"/>
                <w:color w:val="000000"/>
                <w:lang w:val="en-GB" w:eastAsia="en-GB"/>
              </w:rPr>
              <w:tab/>
            </w:r>
            <w:r>
              <w:rPr>
                <w:rStyle w:val="IndexLink"/>
                <w:color w:val="000000"/>
              </w:rPr>
              <w:t>Data Processing Equipment</w:t>
            </w:r>
            <w:r>
              <w:rPr>
                <w:webHidden/>
              </w:rPr>
              <w:fldChar w:fldCharType="begin"/>
            </w:r>
            <w:r>
              <w:rPr>
                <w:webHidden/>
              </w:rPr>
              <w:instrText xml:space="preserve">PAGEREF _Toc88221170 \h</w:instrText>
            </w:r>
            <w:r>
              <w:rPr>
                <w:webHidden/>
              </w:rPr>
              <w:fldChar w:fldCharType="separate"/>
            </w:r>
            <w:r>
              <w:rPr>
                <w:rStyle w:val="IndexLink"/>
                <w:vanish w:val="false"/>
                <w:color w:val="000000"/>
              </w:rPr>
              <w:tab/>
              <w:t>8</w:t>
            </w:r>
            <w:r>
              <w:rPr>
                <w:webHidden/>
              </w:rPr>
              <w:fldChar w:fldCharType="end"/>
            </w:r>
          </w:hyperlink>
        </w:p>
        <w:p>
          <w:pPr>
            <w:pStyle w:val="Contents2"/>
            <w:tabs>
              <w:tab w:val="left" w:pos="1701" w:leader="none"/>
              <w:tab w:val="right" w:pos="9639" w:leader="dot"/>
            </w:tabs>
            <w:rPr/>
          </w:pPr>
          <w:hyperlink w:anchor="_Toc88221171">
            <w:r>
              <w:rPr>
                <w:webHidden/>
                <w:rStyle w:val="IndexLink"/>
                <w:vanish w:val="false"/>
                <w:color w:val="000000"/>
              </w:rPr>
              <w:t>9.3</w:t>
            </w:r>
            <w:r>
              <w:rPr>
                <w:rStyle w:val="IndexLink"/>
                <w:rFonts w:cs="" w:ascii="Calibri" w:hAnsi="Calibri" w:asciiTheme="minorHAnsi" w:cstheme="minorBidi" w:hAnsiTheme="minorHAnsi"/>
                <w:color w:val="000000"/>
                <w:lang w:val="en-GB" w:eastAsia="en-GB"/>
              </w:rPr>
              <w:tab/>
            </w:r>
            <w:r>
              <w:rPr>
                <w:rStyle w:val="IndexLink"/>
                <w:color w:val="000000"/>
              </w:rPr>
              <w:t>Data Processing Location</w:t>
            </w:r>
            <w:r>
              <w:rPr>
                <w:webHidden/>
              </w:rPr>
              <w:fldChar w:fldCharType="begin"/>
            </w:r>
            <w:r>
              <w:rPr>
                <w:webHidden/>
              </w:rPr>
              <w:instrText xml:space="preserve">PAGEREF _Toc88221171 \h</w:instrText>
            </w:r>
            <w:r>
              <w:rPr>
                <w:webHidden/>
              </w:rPr>
              <w:fldChar w:fldCharType="separate"/>
            </w:r>
            <w:r>
              <w:rPr>
                <w:rStyle w:val="IndexLink"/>
                <w:vanish w:val="false"/>
                <w:color w:val="000000"/>
              </w:rPr>
              <w:tab/>
              <w:t>9</w:t>
            </w:r>
            <w:r>
              <w:rPr>
                <w:webHidden/>
              </w:rPr>
              <w:fldChar w:fldCharType="end"/>
            </w:r>
          </w:hyperlink>
        </w:p>
        <w:p>
          <w:pPr>
            <w:pStyle w:val="Contents2"/>
            <w:tabs>
              <w:tab w:val="left" w:pos="1701" w:leader="none"/>
              <w:tab w:val="right" w:pos="9639" w:leader="dot"/>
            </w:tabs>
            <w:rPr/>
          </w:pPr>
          <w:hyperlink w:anchor="_Toc88221172">
            <w:r>
              <w:rPr>
                <w:webHidden/>
                <w:rStyle w:val="IndexLink"/>
                <w:vanish w:val="false"/>
                <w:color w:val="000000"/>
              </w:rPr>
              <w:t>9.4</w:t>
            </w:r>
            <w:r>
              <w:rPr>
                <w:rStyle w:val="IndexLink"/>
                <w:rFonts w:cs="" w:ascii="Calibri" w:hAnsi="Calibri" w:asciiTheme="minorHAnsi" w:cstheme="minorBidi" w:hAnsiTheme="minorHAnsi"/>
                <w:color w:val="000000"/>
                <w:lang w:val="en-GB" w:eastAsia="en-GB"/>
              </w:rPr>
              <w:tab/>
            </w:r>
            <w:r>
              <w:rPr>
                <w:rStyle w:val="IndexLink"/>
                <w:color w:val="000000"/>
              </w:rPr>
              <w:t>Data Backups</w:t>
            </w:r>
            <w:r>
              <w:rPr>
                <w:webHidden/>
              </w:rPr>
              <w:fldChar w:fldCharType="begin"/>
            </w:r>
            <w:r>
              <w:rPr>
                <w:webHidden/>
              </w:rPr>
              <w:instrText xml:space="preserve">PAGEREF _Toc88221172 \h</w:instrText>
            </w:r>
            <w:r>
              <w:rPr>
                <w:webHidden/>
              </w:rPr>
              <w:fldChar w:fldCharType="separate"/>
            </w:r>
            <w:r>
              <w:rPr>
                <w:rStyle w:val="IndexLink"/>
                <w:vanish w:val="false"/>
                <w:color w:val="000000"/>
              </w:rPr>
              <w:tab/>
              <w:t>9</w:t>
            </w:r>
            <w:r>
              <w:rPr>
                <w:webHidden/>
              </w:rPr>
              <w:fldChar w:fldCharType="end"/>
            </w:r>
          </w:hyperlink>
        </w:p>
        <w:p>
          <w:pPr>
            <w:pStyle w:val="Contents2"/>
            <w:tabs>
              <w:tab w:val="left" w:pos="1701" w:leader="none"/>
              <w:tab w:val="right" w:pos="9639" w:leader="dot"/>
            </w:tabs>
            <w:rPr/>
          </w:pPr>
          <w:hyperlink w:anchor="_Toc88221173">
            <w:r>
              <w:rPr>
                <w:webHidden/>
                <w:rStyle w:val="IndexLink"/>
                <w:vanish w:val="false"/>
                <w:color w:val="000000"/>
              </w:rPr>
              <w:t>9.5</w:t>
            </w:r>
            <w:r>
              <w:rPr>
                <w:rStyle w:val="IndexLink"/>
                <w:rFonts w:cs="" w:ascii="Calibri" w:hAnsi="Calibri" w:asciiTheme="minorHAnsi" w:cstheme="minorBidi" w:hAnsiTheme="minorHAnsi"/>
                <w:color w:val="000000"/>
                <w:lang w:val="en-GB" w:eastAsia="en-GB"/>
              </w:rPr>
              <w:tab/>
            </w:r>
            <w:r>
              <w:rPr>
                <w:rStyle w:val="IndexLink"/>
                <w:color w:val="000000"/>
              </w:rPr>
              <w:t>Obsolete or Dysfunctional Equipment</w:t>
            </w:r>
            <w:r>
              <w:rPr>
                <w:webHidden/>
              </w:rPr>
              <w:fldChar w:fldCharType="begin"/>
            </w:r>
            <w:r>
              <w:rPr>
                <w:webHidden/>
              </w:rPr>
              <w:instrText xml:space="preserve">PAGEREF _Toc88221173 \h</w:instrText>
            </w:r>
            <w:r>
              <w:rPr>
                <w:webHidden/>
              </w:rPr>
              <w:fldChar w:fldCharType="separate"/>
            </w:r>
            <w:r>
              <w:rPr>
                <w:rStyle w:val="IndexLink"/>
                <w:vanish w:val="false"/>
                <w:color w:val="000000"/>
              </w:rPr>
              <w:tab/>
              <w:t>9</w:t>
            </w:r>
            <w:r>
              <w:rPr>
                <w:webHidden/>
              </w:rPr>
              <w:fldChar w:fldCharType="end"/>
            </w:r>
          </w:hyperlink>
        </w:p>
        <w:p>
          <w:pPr>
            <w:pStyle w:val="Contents1"/>
            <w:rPr/>
          </w:pPr>
          <w:hyperlink w:anchor="_Toc88221174">
            <w:r>
              <w:rPr>
                <w:webHidden/>
                <w:rStyle w:val="IndexLink"/>
                <w:vanish w:val="false"/>
                <w:color w:val="000000"/>
              </w:rPr>
              <w:t>10.</w:t>
            </w:r>
            <w:r>
              <w:rPr>
                <w:rStyle w:val="IndexLink"/>
                <w:rFonts w:cs="" w:ascii="Calibri" w:hAnsi="Calibri" w:asciiTheme="minorHAnsi" w:cstheme="minorBidi" w:hAnsiTheme="minorHAnsi"/>
                <w:color w:val="000000"/>
                <w:sz w:val="22"/>
                <w:szCs w:val="22"/>
                <w:lang w:val="en-GB" w:eastAsia="en-GB"/>
              </w:rPr>
              <w:tab/>
            </w:r>
            <w:r>
              <w:rPr>
                <w:rStyle w:val="IndexLink"/>
                <w:color w:val="000000"/>
              </w:rPr>
              <w:t>Data Subjects</w:t>
            </w:r>
            <w:r>
              <w:rPr>
                <w:webHidden/>
              </w:rPr>
              <w:fldChar w:fldCharType="begin"/>
            </w:r>
            <w:r>
              <w:rPr>
                <w:webHidden/>
              </w:rPr>
              <w:instrText xml:space="preserve">PAGEREF _Toc88221174 \h</w:instrText>
            </w:r>
            <w:r>
              <w:rPr>
                <w:webHidden/>
              </w:rPr>
              <w:fldChar w:fldCharType="separate"/>
            </w:r>
            <w:r>
              <w:rPr>
                <w:rStyle w:val="IndexLink"/>
                <w:vanish w:val="false"/>
                <w:color w:val="000000"/>
              </w:rPr>
              <w:tab/>
              <w:t>9</w:t>
            </w:r>
            <w:r>
              <w:rPr>
                <w:webHidden/>
              </w:rPr>
              <w:fldChar w:fldCharType="end"/>
            </w:r>
          </w:hyperlink>
        </w:p>
        <w:p>
          <w:pPr>
            <w:pStyle w:val="Contents2"/>
            <w:tabs>
              <w:tab w:val="left" w:pos="1701" w:leader="none"/>
              <w:tab w:val="right" w:pos="9639" w:leader="dot"/>
            </w:tabs>
            <w:rPr/>
          </w:pPr>
          <w:hyperlink w:anchor="_Toc88221175">
            <w:r>
              <w:rPr>
                <w:webHidden/>
                <w:rStyle w:val="IndexLink"/>
                <w:vanish w:val="false"/>
                <w:color w:val="000000"/>
              </w:rPr>
              <w:t>10.1</w:t>
            </w:r>
            <w:r>
              <w:rPr>
                <w:rStyle w:val="IndexLink"/>
                <w:rFonts w:cs="" w:ascii="Calibri" w:hAnsi="Calibri" w:asciiTheme="minorHAnsi" w:cstheme="minorBidi" w:hAnsiTheme="minorHAnsi"/>
                <w:color w:val="000000"/>
                <w:lang w:val="en-GB" w:eastAsia="en-GB"/>
              </w:rPr>
              <w:tab/>
            </w:r>
            <w:r>
              <w:rPr>
                <w:rStyle w:val="IndexLink"/>
                <w:color w:val="000000"/>
              </w:rPr>
              <w:t>The Rights of Data Subjects</w:t>
            </w:r>
            <w:r>
              <w:rPr>
                <w:webHidden/>
              </w:rPr>
              <w:fldChar w:fldCharType="begin"/>
            </w:r>
            <w:r>
              <w:rPr>
                <w:webHidden/>
              </w:rPr>
              <w:instrText xml:space="preserve">PAGEREF _Toc88221175 \h</w:instrText>
            </w:r>
            <w:r>
              <w:rPr>
                <w:webHidden/>
              </w:rPr>
              <w:fldChar w:fldCharType="separate"/>
            </w:r>
            <w:r>
              <w:rPr>
                <w:rStyle w:val="IndexLink"/>
                <w:vanish w:val="false"/>
                <w:color w:val="000000"/>
              </w:rPr>
              <w:tab/>
              <w:t>9</w:t>
            </w:r>
            <w:r>
              <w:rPr>
                <w:webHidden/>
              </w:rPr>
              <w:fldChar w:fldCharType="end"/>
            </w:r>
          </w:hyperlink>
        </w:p>
        <w:p>
          <w:pPr>
            <w:pStyle w:val="Contents2"/>
            <w:tabs>
              <w:tab w:val="left" w:pos="1701" w:leader="none"/>
              <w:tab w:val="right" w:pos="9639" w:leader="dot"/>
            </w:tabs>
            <w:rPr/>
          </w:pPr>
          <w:hyperlink w:anchor="_Toc88221176">
            <w:r>
              <w:rPr>
                <w:webHidden/>
                <w:rStyle w:val="IndexLink"/>
                <w:vanish w:val="false"/>
                <w:color w:val="000000"/>
              </w:rPr>
              <w:t>10.2</w:t>
            </w:r>
            <w:r>
              <w:rPr>
                <w:rStyle w:val="IndexLink"/>
                <w:rFonts w:cs="" w:ascii="Calibri" w:hAnsi="Calibri" w:asciiTheme="minorHAnsi" w:cstheme="minorBidi" w:hAnsiTheme="minorHAnsi"/>
                <w:color w:val="000000"/>
                <w:lang w:val="en-GB" w:eastAsia="en-GB"/>
              </w:rPr>
              <w:tab/>
            </w:r>
            <w:r>
              <w:rPr>
                <w:rStyle w:val="IndexLink"/>
                <w:color w:val="000000"/>
              </w:rPr>
              <w:t>Rights of Access, Rectification and Erasure</w:t>
            </w:r>
            <w:r>
              <w:rPr>
                <w:webHidden/>
              </w:rPr>
              <w:fldChar w:fldCharType="begin"/>
            </w:r>
            <w:r>
              <w:rPr>
                <w:webHidden/>
              </w:rPr>
              <w:instrText xml:space="preserve">PAGEREF _Toc88221176 \h</w:instrText>
            </w:r>
            <w:r>
              <w:rPr>
                <w:webHidden/>
              </w:rPr>
              <w:fldChar w:fldCharType="separate"/>
            </w:r>
            <w:r>
              <w:rPr>
                <w:rStyle w:val="IndexLink"/>
                <w:vanish w:val="false"/>
                <w:color w:val="000000"/>
              </w:rPr>
              <w:tab/>
              <w:t>10</w:t>
            </w:r>
            <w:r>
              <w:rPr>
                <w:webHidden/>
              </w:rPr>
              <w:fldChar w:fldCharType="end"/>
            </w:r>
          </w:hyperlink>
        </w:p>
        <w:p>
          <w:pPr>
            <w:pStyle w:val="Contents2"/>
            <w:tabs>
              <w:tab w:val="left" w:pos="1701" w:leader="none"/>
              <w:tab w:val="right" w:pos="9639" w:leader="dot"/>
            </w:tabs>
            <w:rPr/>
          </w:pPr>
          <w:hyperlink w:anchor="_Toc88221177">
            <w:r>
              <w:rPr>
                <w:webHidden/>
                <w:rStyle w:val="IndexLink"/>
                <w:vanish w:val="false"/>
                <w:color w:val="000000"/>
              </w:rPr>
              <w:t>10.3</w:t>
            </w:r>
            <w:r>
              <w:rPr>
                <w:rStyle w:val="IndexLink"/>
                <w:rFonts w:cs="" w:ascii="Calibri" w:hAnsi="Calibri" w:asciiTheme="minorHAnsi" w:cstheme="minorBidi" w:hAnsiTheme="minorHAnsi"/>
                <w:color w:val="000000"/>
                <w:lang w:val="en-GB" w:eastAsia="en-GB"/>
              </w:rPr>
              <w:tab/>
            </w:r>
            <w:r>
              <w:rPr>
                <w:rStyle w:val="IndexLink"/>
                <w:color w:val="000000"/>
              </w:rPr>
              <w:t>Right of Portability</w:t>
            </w:r>
            <w:r>
              <w:rPr>
                <w:webHidden/>
              </w:rPr>
              <w:fldChar w:fldCharType="begin"/>
            </w:r>
            <w:r>
              <w:rPr>
                <w:webHidden/>
              </w:rPr>
              <w:instrText xml:space="preserve">PAGEREF _Toc88221177 \h</w:instrText>
            </w:r>
            <w:r>
              <w:rPr>
                <w:webHidden/>
              </w:rPr>
              <w:fldChar w:fldCharType="separate"/>
            </w:r>
            <w:r>
              <w:rPr>
                <w:rStyle w:val="IndexLink"/>
                <w:vanish w:val="false"/>
                <w:color w:val="000000"/>
              </w:rPr>
              <w:tab/>
              <w:t>10</w:t>
            </w:r>
            <w:r>
              <w:rPr>
                <w:webHidden/>
              </w:rPr>
              <w:fldChar w:fldCharType="end"/>
            </w:r>
          </w:hyperlink>
        </w:p>
        <w:p>
          <w:pPr>
            <w:pStyle w:val="Contents2"/>
            <w:tabs>
              <w:tab w:val="left" w:pos="1701" w:leader="none"/>
              <w:tab w:val="right" w:pos="9639" w:leader="dot"/>
            </w:tabs>
            <w:rPr/>
          </w:pPr>
          <w:hyperlink w:anchor="_Toc88221178">
            <w:r>
              <w:rPr>
                <w:webHidden/>
                <w:rStyle w:val="IndexLink"/>
                <w:vanish w:val="false"/>
                <w:color w:val="000000"/>
              </w:rPr>
              <w:t>10.4</w:t>
            </w:r>
            <w:r>
              <w:rPr>
                <w:rStyle w:val="IndexLink"/>
                <w:rFonts w:cs="" w:ascii="Calibri" w:hAnsi="Calibri" w:asciiTheme="minorHAnsi" w:cstheme="minorBidi" w:hAnsiTheme="minorHAnsi"/>
                <w:color w:val="000000"/>
                <w:lang w:val="en-GB" w:eastAsia="en-GB"/>
              </w:rPr>
              <w:tab/>
            </w:r>
            <w:r>
              <w:rPr>
                <w:rStyle w:val="IndexLink"/>
                <w:color w:val="000000"/>
              </w:rPr>
              <w:t>Data Retention Policy</w:t>
            </w:r>
            <w:r>
              <w:rPr>
                <w:webHidden/>
              </w:rPr>
              <w:fldChar w:fldCharType="begin"/>
            </w:r>
            <w:r>
              <w:rPr>
                <w:webHidden/>
              </w:rPr>
              <w:instrText xml:space="preserve">PAGEREF _Toc88221178 \h</w:instrText>
            </w:r>
            <w:r>
              <w:rPr>
                <w:webHidden/>
              </w:rPr>
              <w:fldChar w:fldCharType="separate"/>
            </w:r>
            <w:r>
              <w:rPr>
                <w:rStyle w:val="IndexLink"/>
                <w:vanish w:val="false"/>
                <w:color w:val="000000"/>
              </w:rPr>
              <w:tab/>
              <w:t>10</w:t>
            </w:r>
            <w:r>
              <w:rPr>
                <w:webHidden/>
              </w:rPr>
              <w:fldChar w:fldCharType="end"/>
            </w:r>
          </w:hyperlink>
        </w:p>
        <w:p>
          <w:pPr>
            <w:pStyle w:val="Contents1"/>
            <w:rPr/>
          </w:pPr>
          <w:hyperlink w:anchor="_Toc88221179">
            <w:r>
              <w:rPr>
                <w:webHidden/>
                <w:rStyle w:val="IndexLink"/>
                <w:vanish w:val="false"/>
                <w:color w:val="000000"/>
              </w:rPr>
              <w:t>11.</w:t>
            </w:r>
            <w:r>
              <w:rPr>
                <w:rStyle w:val="IndexLink"/>
                <w:rFonts w:cs="" w:ascii="Calibri" w:hAnsi="Calibri" w:asciiTheme="minorHAnsi" w:cstheme="minorBidi" w:hAnsiTheme="minorHAnsi"/>
                <w:color w:val="000000"/>
                <w:sz w:val="22"/>
                <w:szCs w:val="22"/>
                <w:lang w:val="en-GB" w:eastAsia="en-GB"/>
              </w:rPr>
              <w:tab/>
            </w:r>
            <w:r>
              <w:rPr>
                <w:rStyle w:val="IndexLink"/>
                <w:color w:val="000000"/>
              </w:rPr>
              <w:t>Privacy Impact Assessment</w:t>
            </w:r>
            <w:r>
              <w:rPr>
                <w:webHidden/>
              </w:rPr>
              <w:fldChar w:fldCharType="begin"/>
            </w:r>
            <w:r>
              <w:rPr>
                <w:webHidden/>
              </w:rPr>
              <w:instrText xml:space="preserve">PAGEREF _Toc88221179 \h</w:instrText>
            </w:r>
            <w:r>
              <w:rPr>
                <w:webHidden/>
              </w:rPr>
              <w:fldChar w:fldCharType="separate"/>
            </w:r>
            <w:r>
              <w:rPr>
                <w:rStyle w:val="IndexLink"/>
                <w:vanish w:val="false"/>
                <w:color w:val="000000"/>
              </w:rPr>
              <w:tab/>
              <w:t>11</w:t>
            </w:r>
            <w:r>
              <w:rPr>
                <w:webHidden/>
              </w:rPr>
              <w:fldChar w:fldCharType="end"/>
            </w:r>
          </w:hyperlink>
        </w:p>
        <w:p>
          <w:pPr>
            <w:pStyle w:val="Contents2"/>
            <w:tabs>
              <w:tab w:val="left" w:pos="1701" w:leader="none"/>
              <w:tab w:val="right" w:pos="9639" w:leader="dot"/>
            </w:tabs>
            <w:rPr/>
          </w:pPr>
          <w:hyperlink w:anchor="_Toc88221180">
            <w:r>
              <w:rPr>
                <w:webHidden/>
                <w:rStyle w:val="IndexLink"/>
                <w:vanish w:val="false"/>
                <w:color w:val="000000"/>
              </w:rPr>
              <w:t>11.1</w:t>
            </w:r>
            <w:r>
              <w:rPr>
                <w:rStyle w:val="IndexLink"/>
                <w:rFonts w:cs="" w:ascii="Calibri" w:hAnsi="Calibri" w:asciiTheme="minorHAnsi" w:cstheme="minorBidi" w:hAnsiTheme="minorHAnsi"/>
                <w:color w:val="000000"/>
                <w:lang w:val="en-GB" w:eastAsia="en-GB"/>
              </w:rPr>
              <w:tab/>
            </w:r>
            <w:r>
              <w:rPr>
                <w:rStyle w:val="IndexLink"/>
                <w:color w:val="000000"/>
              </w:rPr>
              <w:t>Trustees’ Data</w:t>
            </w:r>
            <w:r>
              <w:rPr>
                <w:webHidden/>
              </w:rPr>
              <w:fldChar w:fldCharType="begin"/>
            </w:r>
            <w:r>
              <w:rPr>
                <w:webHidden/>
              </w:rPr>
              <w:instrText xml:space="preserve">PAGEREF _Toc88221180 \h</w:instrText>
            </w:r>
            <w:r>
              <w:rPr>
                <w:webHidden/>
              </w:rPr>
              <w:fldChar w:fldCharType="separate"/>
            </w:r>
            <w:r>
              <w:rPr>
                <w:rStyle w:val="IndexLink"/>
                <w:vanish w:val="false"/>
                <w:color w:val="000000"/>
              </w:rPr>
              <w:tab/>
              <w:t>11</w:t>
            </w:r>
            <w:r>
              <w:rPr>
                <w:webHidden/>
              </w:rPr>
              <w:fldChar w:fldCharType="end"/>
            </w:r>
          </w:hyperlink>
        </w:p>
        <w:p>
          <w:pPr>
            <w:pStyle w:val="Contents2"/>
            <w:tabs>
              <w:tab w:val="left" w:pos="1701" w:leader="none"/>
              <w:tab w:val="right" w:pos="9639" w:leader="dot"/>
            </w:tabs>
            <w:rPr/>
          </w:pPr>
          <w:hyperlink w:anchor="_Toc88221181">
            <w:r>
              <w:rPr>
                <w:webHidden/>
                <w:rStyle w:val="IndexLink"/>
                <w:vanish w:val="false"/>
                <w:color w:val="000000"/>
              </w:rPr>
              <w:t>11.2</w:t>
            </w:r>
            <w:r>
              <w:rPr>
                <w:rStyle w:val="IndexLink"/>
                <w:rFonts w:cs="" w:ascii="Calibri" w:hAnsi="Calibri" w:asciiTheme="minorHAnsi" w:cstheme="minorBidi" w:hAnsiTheme="minorHAnsi"/>
                <w:color w:val="000000"/>
                <w:lang w:val="en-GB" w:eastAsia="en-GB"/>
              </w:rPr>
              <w:tab/>
            </w:r>
            <w:r>
              <w:rPr>
                <w:rStyle w:val="IndexLink"/>
                <w:color w:val="000000"/>
              </w:rPr>
              <w:t>Volunteers’/Members’ Data</w:t>
            </w:r>
            <w:r>
              <w:rPr>
                <w:webHidden/>
              </w:rPr>
              <w:fldChar w:fldCharType="begin"/>
            </w:r>
            <w:r>
              <w:rPr>
                <w:webHidden/>
              </w:rPr>
              <w:instrText xml:space="preserve">PAGEREF _Toc88221181 \h</w:instrText>
            </w:r>
            <w:r>
              <w:rPr>
                <w:webHidden/>
              </w:rPr>
              <w:fldChar w:fldCharType="separate"/>
            </w:r>
            <w:r>
              <w:rPr>
                <w:rStyle w:val="IndexLink"/>
                <w:vanish w:val="false"/>
                <w:color w:val="000000"/>
              </w:rPr>
              <w:tab/>
              <w:t>11</w:t>
            </w:r>
            <w:r>
              <w:rPr>
                <w:webHidden/>
              </w:rPr>
              <w:fldChar w:fldCharType="end"/>
            </w:r>
          </w:hyperlink>
        </w:p>
        <w:p>
          <w:pPr>
            <w:pStyle w:val="Contents2"/>
            <w:tabs>
              <w:tab w:val="left" w:pos="1701" w:leader="none"/>
              <w:tab w:val="right" w:pos="9639" w:leader="dot"/>
            </w:tabs>
            <w:rPr/>
          </w:pPr>
          <w:hyperlink w:anchor="_Toc88221182">
            <w:r>
              <w:rPr>
                <w:webHidden/>
                <w:rStyle w:val="IndexLink"/>
                <w:vanish w:val="false"/>
                <w:color w:val="000000"/>
              </w:rPr>
              <w:t>11.3</w:t>
            </w:r>
            <w:r>
              <w:rPr>
                <w:rStyle w:val="IndexLink"/>
                <w:rFonts w:cs="" w:ascii="Calibri" w:hAnsi="Calibri" w:asciiTheme="minorHAnsi" w:cstheme="minorBidi" w:hAnsiTheme="minorHAnsi"/>
                <w:color w:val="000000"/>
                <w:lang w:val="en-GB" w:eastAsia="en-GB"/>
              </w:rPr>
              <w:tab/>
            </w:r>
            <w:r>
              <w:rPr>
                <w:rStyle w:val="IndexLink"/>
                <w:color w:val="000000"/>
              </w:rPr>
              <w:t>Supporters’ &amp; Enquirers’ Data</w:t>
            </w:r>
            <w:r>
              <w:rPr>
                <w:webHidden/>
              </w:rPr>
              <w:fldChar w:fldCharType="begin"/>
            </w:r>
            <w:r>
              <w:rPr>
                <w:webHidden/>
              </w:rPr>
              <w:instrText xml:space="preserve">PAGEREF _Toc88221182 \h</w:instrText>
            </w:r>
            <w:r>
              <w:rPr>
                <w:webHidden/>
              </w:rPr>
              <w:fldChar w:fldCharType="separate"/>
            </w:r>
            <w:r>
              <w:rPr>
                <w:rStyle w:val="IndexLink"/>
                <w:vanish w:val="false"/>
                <w:color w:val="000000"/>
              </w:rPr>
              <w:tab/>
              <w:t>11</w:t>
            </w:r>
            <w:r>
              <w:rPr>
                <w:webHidden/>
              </w:rPr>
              <w:fldChar w:fldCharType="end"/>
            </w:r>
          </w:hyperlink>
        </w:p>
        <w:p>
          <w:pPr>
            <w:pStyle w:val="Contents1"/>
            <w:rPr/>
          </w:pPr>
          <w:hyperlink w:anchor="_Toc88221183">
            <w:r>
              <w:rPr>
                <w:webHidden/>
                <w:rStyle w:val="IndexLink"/>
                <w:vanish w:val="false"/>
                <w:color w:val="000000"/>
              </w:rPr>
              <w:t>12.</w:t>
            </w:r>
            <w:r>
              <w:rPr>
                <w:rStyle w:val="IndexLink"/>
                <w:rFonts w:cs="" w:ascii="Calibri" w:hAnsi="Calibri" w:asciiTheme="minorHAnsi" w:cstheme="minorBidi" w:hAnsiTheme="minorHAnsi"/>
                <w:color w:val="000000"/>
                <w:sz w:val="22"/>
                <w:szCs w:val="22"/>
                <w:lang w:val="en-GB" w:eastAsia="en-GB"/>
              </w:rPr>
              <w:tab/>
            </w:r>
            <w:r>
              <w:rPr>
                <w:rStyle w:val="IndexLink"/>
                <w:color w:val="000000"/>
              </w:rPr>
              <w:t>Third Party Access to Data</w:t>
            </w:r>
            <w:r>
              <w:rPr>
                <w:webHidden/>
              </w:rPr>
              <w:fldChar w:fldCharType="begin"/>
            </w:r>
            <w:r>
              <w:rPr>
                <w:webHidden/>
              </w:rPr>
              <w:instrText xml:space="preserve">PAGEREF _Toc88221183 \h</w:instrText>
            </w:r>
            <w:r>
              <w:rPr>
                <w:webHidden/>
              </w:rPr>
              <w:fldChar w:fldCharType="separate"/>
            </w:r>
            <w:r>
              <w:rPr>
                <w:rStyle w:val="IndexLink"/>
                <w:vanish w:val="false"/>
                <w:color w:val="000000"/>
              </w:rPr>
              <w:tab/>
              <w:t>11</w:t>
            </w:r>
            <w:r>
              <w:rPr>
                <w:webHidden/>
              </w:rPr>
              <w:fldChar w:fldCharType="end"/>
            </w:r>
          </w:hyperlink>
        </w:p>
        <w:p>
          <w:pPr>
            <w:pStyle w:val="Contents1"/>
            <w:rPr/>
          </w:pPr>
          <w:hyperlink w:anchor="_Toc88221184">
            <w:r>
              <w:rPr>
                <w:webHidden/>
                <w:rStyle w:val="IndexLink"/>
                <w:vanish w:val="false"/>
                <w:color w:val="000000"/>
              </w:rPr>
              <w:t>13.</w:t>
            </w:r>
            <w:r>
              <w:rPr>
                <w:rStyle w:val="IndexLink"/>
                <w:rFonts w:cs="" w:ascii="Calibri" w:hAnsi="Calibri" w:asciiTheme="minorHAnsi" w:cstheme="minorBidi" w:hAnsiTheme="minorHAnsi"/>
                <w:color w:val="000000"/>
                <w:sz w:val="22"/>
                <w:szCs w:val="22"/>
                <w:lang w:val="en-GB" w:eastAsia="en-GB"/>
              </w:rPr>
              <w:tab/>
            </w:r>
            <w:r>
              <w:rPr>
                <w:rStyle w:val="IndexLink"/>
                <w:color w:val="000000"/>
              </w:rPr>
              <w:t>Data Breach</w:t>
            </w:r>
            <w:r>
              <w:rPr>
                <w:webHidden/>
              </w:rPr>
              <w:fldChar w:fldCharType="begin"/>
            </w:r>
            <w:r>
              <w:rPr>
                <w:webHidden/>
              </w:rPr>
              <w:instrText xml:space="preserve">PAGEREF _Toc88221184 \h</w:instrText>
            </w:r>
            <w:r>
              <w:rPr>
                <w:webHidden/>
              </w:rPr>
              <w:fldChar w:fldCharType="separate"/>
            </w:r>
            <w:r>
              <w:rPr>
                <w:rStyle w:val="IndexLink"/>
                <w:vanish w:val="false"/>
                <w:color w:val="000000"/>
              </w:rPr>
              <w:tab/>
              <w:t>12</w:t>
            </w:r>
            <w:r>
              <w:rPr>
                <w:webHidden/>
              </w:rPr>
              <w:fldChar w:fldCharType="end"/>
            </w:r>
          </w:hyperlink>
        </w:p>
        <w:p>
          <w:pPr>
            <w:pStyle w:val="Contents1"/>
            <w:rPr/>
          </w:pPr>
          <w:hyperlink w:anchor="_Toc88221185">
            <w:r>
              <w:rPr>
                <w:webHidden/>
                <w:rStyle w:val="IndexLink"/>
                <w:vanish w:val="false"/>
                <w:color w:val="000000"/>
              </w:rPr>
              <w:t>14.</w:t>
            </w:r>
            <w:r>
              <w:rPr>
                <w:rStyle w:val="IndexLink"/>
                <w:rFonts w:cs="" w:ascii="Calibri" w:hAnsi="Calibri" w:asciiTheme="minorHAnsi" w:cstheme="minorBidi" w:hAnsiTheme="minorHAnsi"/>
                <w:color w:val="000000"/>
                <w:sz w:val="22"/>
                <w:szCs w:val="22"/>
                <w:lang w:val="en-GB" w:eastAsia="en-GB"/>
              </w:rPr>
              <w:tab/>
            </w:r>
            <w:r>
              <w:rPr>
                <w:rStyle w:val="IndexLink"/>
                <w:color w:val="000000"/>
              </w:rPr>
              <w:t>Privacy Policy &amp; Privacy Notices</w:t>
            </w:r>
            <w:r>
              <w:rPr>
                <w:webHidden/>
              </w:rPr>
              <w:fldChar w:fldCharType="begin"/>
            </w:r>
            <w:r>
              <w:rPr>
                <w:webHidden/>
              </w:rPr>
              <w:instrText xml:space="preserve">PAGEREF _Toc88221185 \h</w:instrText>
            </w:r>
            <w:r>
              <w:rPr>
                <w:webHidden/>
              </w:rPr>
              <w:fldChar w:fldCharType="separate"/>
            </w:r>
            <w:r>
              <w:rPr>
                <w:rStyle w:val="IndexLink"/>
                <w:vanish w:val="false"/>
                <w:color w:val="000000"/>
              </w:rPr>
              <w:tab/>
              <w:t>12</w:t>
            </w:r>
            <w:r>
              <w:rPr>
                <w:webHidden/>
              </w:rPr>
              <w:fldChar w:fldCharType="end"/>
            </w:r>
          </w:hyperlink>
        </w:p>
        <w:p>
          <w:pPr>
            <w:pStyle w:val="Normal"/>
            <w:rPr>
              <w:color w:val="000000"/>
            </w:rPr>
          </w:pPr>
          <w:r>
            <w:rPr>
              <w:color w:val="000000"/>
            </w:rPr>
          </w:r>
          <w:r>
            <w:rPr>
              <w:color w:val="000000"/>
            </w:rPr>
            <w:fldChar w:fldCharType="end"/>
          </w:r>
        </w:p>
      </w:sdtContent>
    </w:sdt>
    <w:p>
      <w:pPr>
        <w:pStyle w:val="Normal"/>
        <w:suppressAutoHyphens w:val="false"/>
        <w:spacing w:before="0" w:after="0"/>
        <w:rPr>
          <w:rFonts w:cs="Tahoma"/>
          <w:b/>
          <w:b/>
          <w:color w:val="000000"/>
          <w:sz w:val="48"/>
          <w:szCs w:val="28"/>
        </w:rPr>
      </w:pPr>
      <w:r>
        <w:rPr>
          <w:rFonts w:cs="Tahoma"/>
          <w:b/>
          <w:color w:val="000000"/>
          <w:sz w:val="48"/>
          <w:szCs w:val="28"/>
        </w:rPr>
      </w:r>
      <w:r>
        <w:br w:type="page"/>
      </w:r>
    </w:p>
    <w:p>
      <w:pPr>
        <w:pStyle w:val="Title"/>
        <w:spacing w:before="360" w:after="0"/>
        <w:rPr>
          <w:color w:val="000000"/>
        </w:rPr>
      </w:pPr>
      <w:r>
        <w:rPr>
          <w:b/>
          <w:bCs/>
          <w:color w:val="000000"/>
        </w:rPr>
        <w:t>Data Protection Policy</w:t>
      </w:r>
    </w:p>
    <w:p>
      <w:pPr>
        <w:pStyle w:val="Heading1"/>
        <w:numPr>
          <w:ilvl w:val="0"/>
          <w:numId w:val="5"/>
        </w:numPr>
        <w:rPr>
          <w:color w:val="000000"/>
        </w:rPr>
      </w:pPr>
      <w:bookmarkStart w:id="0" w:name="_Toc513035011"/>
      <w:bookmarkStart w:id="1" w:name="_Toc513035025"/>
      <w:bookmarkStart w:id="2" w:name="_Toc88221141"/>
      <w:r>
        <w:rPr>
          <w:color w:val="000000"/>
        </w:rPr>
        <w:t>Introduction to the UK-GDPR</w:t>
      </w:r>
      <w:bookmarkEnd w:id="0"/>
      <w:bookmarkEnd w:id="1"/>
      <w:bookmarkEnd w:id="2"/>
    </w:p>
    <w:p>
      <w:pPr>
        <w:pStyle w:val="Norm1"/>
        <w:ind w:left="567" w:hanging="0"/>
        <w:rPr>
          <w:color w:val="000000"/>
        </w:rPr>
      </w:pPr>
      <w:r>
        <w:rPr>
          <w:color w:val="000000"/>
        </w:rPr>
        <w:t>Under the United Kingdom General Data Protection Regulations (UKGDPR)  the BCRA is required to comply with the UK-GDPR and undertakes to do so.</w:t>
      </w:r>
    </w:p>
    <w:p>
      <w:pPr>
        <w:pStyle w:val="Norm1"/>
        <w:ind w:left="567" w:hanging="0"/>
        <w:rPr>
          <w:color w:val="000000"/>
        </w:rPr>
      </w:pPr>
      <w:r>
        <w:rPr>
          <w:color w:val="000000"/>
        </w:rPr>
        <w:t xml:space="preserve">Throughout this policy document, numbers prefixed by “Art:“ in brackets </w:t>
      </w:r>
      <w:r>
        <w:rPr>
          <w:i/>
          <w:color w:val="000000"/>
        </w:rPr>
        <w:t>(eg: {Art:5})</w:t>
      </w:r>
      <w:r>
        <w:rPr>
          <w:color w:val="000000"/>
        </w:rPr>
        <w:t xml:space="preserve"> refer to the relevant Article(s) in the UK-GDPR, as modified by the Keeling Schedule.</w:t>
      </w:r>
    </w:p>
    <w:p>
      <w:pPr>
        <w:pStyle w:val="Heading1"/>
        <w:numPr>
          <w:ilvl w:val="0"/>
          <w:numId w:val="5"/>
        </w:numPr>
        <w:rPr>
          <w:color w:val="000000"/>
        </w:rPr>
      </w:pPr>
      <w:bookmarkStart w:id="3" w:name="_Toc88221142"/>
      <w:bookmarkStart w:id="4" w:name="_Ref504298691"/>
      <w:bookmarkStart w:id="5" w:name="_Toc513035012"/>
      <w:bookmarkStart w:id="6" w:name="_Toc513035026"/>
      <w:r>
        <w:rPr>
          <w:color w:val="000000"/>
        </w:rPr>
        <w:t>Definitions</w:t>
      </w:r>
      <w:bookmarkEnd w:id="3"/>
      <w:bookmarkEnd w:id="4"/>
      <w:bookmarkEnd w:id="5"/>
      <w:bookmarkEnd w:id="6"/>
    </w:p>
    <w:p>
      <w:pPr>
        <w:pStyle w:val="Norm1"/>
        <w:spacing w:before="0" w:after="0"/>
        <w:ind w:left="567" w:hanging="0"/>
        <w:rPr>
          <w:color w:val="000000"/>
        </w:rPr>
      </w:pPr>
      <w:r>
        <w:rPr>
          <w:rFonts w:cs="Tahoma"/>
          <w:b/>
          <w:bCs/>
          <w:i/>
          <w:color w:val="000000"/>
          <w:szCs w:val="22"/>
        </w:rPr>
        <w:t>{Précised from Art:4}</w:t>
      </w:r>
    </w:p>
    <w:p>
      <w:pPr>
        <w:pStyle w:val="Norm1"/>
        <w:ind w:left="567" w:hanging="0"/>
        <w:rPr>
          <w:color w:val="000000"/>
        </w:rPr>
      </w:pPr>
      <w:r>
        <w:rPr>
          <w:color w:val="000000"/>
        </w:rPr>
        <w:t>The definitions of terms used in this policy are the same as the definitions of those terms detailed in Article-4 of the UK-GDPR.</w:t>
      </w:r>
    </w:p>
    <w:p>
      <w:pPr>
        <w:pStyle w:val="Heading3"/>
        <w:numPr>
          <w:ilvl w:val="2"/>
          <w:numId w:val="5"/>
        </w:numPr>
        <w:rPr>
          <w:color w:val="000000"/>
        </w:rPr>
      </w:pPr>
      <w:r>
        <w:rPr>
          <w:color w:val="000000"/>
        </w:rPr>
        <w:t>Data Subject</w:t>
      </w:r>
    </w:p>
    <w:p>
      <w:pPr>
        <w:pStyle w:val="Norm1"/>
        <w:ind w:left="567" w:hanging="0"/>
        <w:rPr>
          <w:color w:val="000000"/>
        </w:rPr>
      </w:pPr>
      <w:r>
        <w:rPr>
          <w:color w:val="000000"/>
        </w:rPr>
        <w:t>A data subject is an identifiable individual person about whom the BCRA  holds personal data.</w:t>
      </w:r>
    </w:p>
    <w:p>
      <w:pPr>
        <w:pStyle w:val="Heading3"/>
        <w:numPr>
          <w:ilvl w:val="2"/>
          <w:numId w:val="5"/>
        </w:numPr>
        <w:rPr>
          <w:color w:val="000000"/>
        </w:rPr>
      </w:pPr>
      <w:bookmarkStart w:id="7" w:name="_Ref504298682"/>
      <w:r>
        <w:rPr>
          <w:color w:val="000000"/>
        </w:rPr>
        <w:t>Contact Information</w:t>
      </w:r>
      <w:bookmarkEnd w:id="7"/>
    </w:p>
    <w:p>
      <w:pPr>
        <w:pStyle w:val="Norm1"/>
        <w:ind w:left="567" w:hanging="0"/>
        <w:rPr>
          <w:color w:val="000000"/>
        </w:rPr>
      </w:pPr>
      <w:r>
        <w:rPr>
          <w:color w:val="000000"/>
        </w:rPr>
        <w:t>For the purposes of this Policy, “Contact Information” means any or all of the person’s:</w:t>
        <w:br/>
        <w:t>full name (including any preferences about how they like to be called);</w:t>
        <w:br/>
        <w:t>full postal address;</w:t>
        <w:br/>
        <w:t>telephone and/or mobile number(s);</w:t>
        <w:br/>
        <w:t>e-mail address(es);</w:t>
        <w:br/>
        <w:t>social media IDs/UserNames (</w:t>
      </w:r>
      <w:r>
        <w:rPr>
          <w:i/>
          <w:color w:val="000000"/>
        </w:rPr>
        <w:t>eg:</w:t>
      </w:r>
      <w:r>
        <w:rPr>
          <w:color w:val="000000"/>
        </w:rPr>
        <w:t xml:space="preserve"> Facebook, Skype, Hangouts, WhatsApp)</w:t>
      </w:r>
    </w:p>
    <w:p>
      <w:pPr>
        <w:pStyle w:val="Heading1"/>
        <w:numPr>
          <w:ilvl w:val="0"/>
          <w:numId w:val="5"/>
        </w:numPr>
        <w:rPr>
          <w:color w:val="000000"/>
        </w:rPr>
      </w:pPr>
      <w:bookmarkStart w:id="8" w:name="_Toc88221143"/>
      <w:bookmarkStart w:id="9" w:name="_Toc513035013"/>
      <w:bookmarkStart w:id="10" w:name="_Toc513035027"/>
      <w:r>
        <w:rPr>
          <w:color w:val="000000"/>
        </w:rPr>
        <w:t>Principles of the UK-GDPR</w:t>
      </w:r>
      <w:bookmarkEnd w:id="8"/>
      <w:bookmarkEnd w:id="9"/>
      <w:bookmarkEnd w:id="10"/>
    </w:p>
    <w:p>
      <w:pPr>
        <w:pStyle w:val="Norm1"/>
        <w:spacing w:before="0" w:after="0"/>
        <w:ind w:left="567" w:hanging="0"/>
        <w:rPr>
          <w:color w:val="000000"/>
        </w:rPr>
      </w:pPr>
      <w:r>
        <w:rPr>
          <w:rFonts w:cs="Tahoma"/>
          <w:b/>
          <w:bCs/>
          <w:i/>
          <w:color w:val="000000"/>
          <w:szCs w:val="22"/>
        </w:rPr>
        <w:t>{Précised from Art:5}</w:t>
      </w:r>
    </w:p>
    <w:p>
      <w:pPr>
        <w:pStyle w:val="Norm1"/>
        <w:ind w:left="567" w:hanging="0"/>
        <w:rPr>
          <w:color w:val="000000"/>
        </w:rPr>
      </w:pPr>
      <w:r>
        <w:rPr>
          <w:color w:val="000000"/>
        </w:rPr>
        <w:t>The BCRA will ensure that all personal data that it holds will be:</w:t>
      </w:r>
    </w:p>
    <w:p>
      <w:pPr>
        <w:pStyle w:val="Norm1Num"/>
        <w:numPr>
          <w:ilvl w:val="8"/>
          <w:numId w:val="7"/>
        </w:numPr>
        <w:rPr/>
      </w:pPr>
      <w:r>
        <w:rPr>
          <w:color w:val="000000"/>
        </w:rPr>
        <w:t>processed lawfully, fairly and in a transparent manner in relation to individuals;</w:t>
      </w:r>
    </w:p>
    <w:p>
      <w:pPr>
        <w:pStyle w:val="Norm1Num"/>
        <w:numPr>
          <w:ilvl w:val="8"/>
          <w:numId w:val="7"/>
        </w:numPr>
        <w:rPr/>
      </w:pPr>
      <w:r>
        <w:rPr>
          <w:color w:val="000000"/>
        </w:rPr>
        <w:t>collected only for specified, explicit and legitimate purposes and not further processed in a manner that is incompatible with those purposes;</w:t>
        <w:br/>
        <w:t>further processing for archiving purposes in the public interest, scientific or historical research purposes or statistical purposes shall not be considered to be incompatible with the initial purposes;</w:t>
      </w:r>
    </w:p>
    <w:p>
      <w:pPr>
        <w:pStyle w:val="Norm1Num"/>
        <w:numPr>
          <w:ilvl w:val="8"/>
          <w:numId w:val="7"/>
        </w:numPr>
        <w:rPr/>
      </w:pPr>
      <w:r>
        <w:rPr>
          <w:color w:val="000000"/>
        </w:rPr>
        <w:t>adequate, relevant and limited to what is necessary in relation to the purposes for which they are processed;</w:t>
      </w:r>
    </w:p>
    <w:p>
      <w:pPr>
        <w:pStyle w:val="Norm1Num"/>
        <w:numPr>
          <w:ilvl w:val="8"/>
          <w:numId w:val="7"/>
        </w:numPr>
        <w:rPr/>
      </w:pPr>
      <w:r>
        <w:rPr>
          <w:color w:val="000000"/>
        </w:rPr>
        <w:t>accurate and, where necessary, kept up to date;   every reasonable step must be taken to ensure that personal data that are inaccurate, having regard to the purposes for which they are processed, are erased or rectified without delay;</w:t>
      </w:r>
    </w:p>
    <w:p>
      <w:pPr>
        <w:pStyle w:val="Norm1Num"/>
        <w:numPr>
          <w:ilvl w:val="8"/>
          <w:numId w:val="7"/>
        </w:numPr>
        <w:rPr/>
      </w:pPr>
      <w:r>
        <w:rPr>
          <w:color w:val="000000"/>
        </w:rPr>
        <w:t>kept in a form which permits identification of data subjects for no longer than is necessary for the purposes for which the personal data are processed;</w:t>
        <w:br/>
        <w:t>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UK-GDPR in order to safeguard the rights and freedoms of individuals; and</w:t>
      </w:r>
    </w:p>
    <w:p>
      <w:pPr>
        <w:pStyle w:val="Norm1Num"/>
        <w:numPr>
          <w:ilvl w:val="8"/>
          <w:numId w:val="7"/>
        </w:numPr>
        <w:rPr>
          <w:color w:val="000000"/>
        </w:rPr>
      </w:pPr>
      <w:r>
        <w:rPr>
          <w:color w:val="000000"/>
        </w:rPr>
        <w:t>processed in a manner that ensures appropriate security of the personal data, including protection against unauthorised or unlawful processing and against accidental loss, destruction or damage, using appropriate technical or organisational measures.</w:t>
      </w:r>
    </w:p>
    <w:p>
      <w:pPr>
        <w:pStyle w:val="Heading1"/>
        <w:numPr>
          <w:ilvl w:val="0"/>
          <w:numId w:val="5"/>
        </w:numPr>
        <w:rPr>
          <w:color w:val="000000"/>
        </w:rPr>
      </w:pPr>
      <w:bookmarkStart w:id="11" w:name="_Toc513035014"/>
      <w:bookmarkStart w:id="12" w:name="_Toc513035028"/>
      <w:bookmarkStart w:id="13" w:name="_Toc88221144"/>
      <w:r>
        <w:rPr>
          <w:color w:val="000000"/>
        </w:rPr>
        <w:t>Lawful Processing</w:t>
      </w:r>
      <w:bookmarkEnd w:id="11"/>
      <w:bookmarkEnd w:id="12"/>
      <w:bookmarkEnd w:id="13"/>
    </w:p>
    <w:p>
      <w:pPr>
        <w:pStyle w:val="Norm1"/>
        <w:spacing w:before="0" w:after="0"/>
        <w:ind w:left="567" w:hanging="0"/>
        <w:rPr>
          <w:color w:val="000000"/>
        </w:rPr>
      </w:pPr>
      <w:r>
        <w:rPr>
          <w:rFonts w:cs="Tahoma"/>
          <w:b/>
          <w:bCs/>
          <w:i/>
          <w:color w:val="000000"/>
          <w:szCs w:val="22"/>
        </w:rPr>
        <w:t>{Précised from Art:6}</w:t>
      </w:r>
    </w:p>
    <w:p>
      <w:pPr>
        <w:pStyle w:val="Norm1"/>
        <w:ind w:left="567" w:hanging="0"/>
        <w:rPr>
          <w:color w:val="000000"/>
        </w:rPr>
      </w:pPr>
      <w:r>
        <w:rPr>
          <w:color w:val="000000"/>
        </w:rPr>
        <w:t xml:space="preserve">The BCRA  will obtain, hold and process all personal data in accordance with the UK-GDPR for the following lawful purposes.   In all cases the information collected, held and processed will include Contact Information (as defined in </w:t>
      </w:r>
      <w:r>
        <w:rPr>
          <w:color w:val="000000"/>
        </w:rPr>
        <w:fldChar w:fldCharType="begin"/>
      </w:r>
      <w:r>
        <w:rPr>
          <w:color w:val="000000"/>
        </w:rPr>
        <w:instrText xml:space="preserve"> REF _Ref504298691 \r \h </w:instrText>
      </w:r>
      <w:r>
        <w:rPr>
          <w:color w:val="000000"/>
        </w:rPr>
        <w:fldChar w:fldCharType="separate"/>
      </w:r>
      <w:r>
        <w:rPr>
          <w:color w:val="000000"/>
        </w:rPr>
        <w:t>2</w:t>
      </w:r>
      <w:r>
        <w:rPr>
          <w:color w:val="000000"/>
        </w:rPr>
        <w:fldChar w:fldCharType="end"/>
      </w:r>
      <w:r>
        <w:rPr>
          <w:color w:val="000000"/>
        </w:rPr>
        <w:t xml:space="preserve"> above).</w:t>
      </w:r>
    </w:p>
    <w:p>
      <w:pPr>
        <w:pStyle w:val="Heading2"/>
        <w:numPr>
          <w:ilvl w:val="1"/>
          <w:numId w:val="5"/>
        </w:numPr>
        <w:ind w:left="567" w:hanging="567"/>
        <w:rPr>
          <w:color w:val="000000"/>
        </w:rPr>
      </w:pPr>
      <w:bookmarkStart w:id="14" w:name="_Ref504308234"/>
      <w:bookmarkStart w:id="15" w:name="_Toc513035029"/>
      <w:bookmarkStart w:id="16" w:name="_Toc88221145"/>
      <w:r>
        <w:rPr>
          <w:color w:val="000000"/>
        </w:rPr>
        <w:t>By Consent</w:t>
      </w:r>
      <w:bookmarkEnd w:id="14"/>
      <w:bookmarkEnd w:id="15"/>
      <w:bookmarkEnd w:id="16"/>
    </w:p>
    <w:p>
      <w:pPr>
        <w:pStyle w:val="Norm1Num"/>
        <w:numPr>
          <w:ilvl w:val="0"/>
          <w:numId w:val="0"/>
        </w:numPr>
        <w:ind w:left="567" w:hanging="0"/>
        <w:rPr>
          <w:color w:val="000000"/>
        </w:rPr>
      </w:pPr>
      <w:r>
        <w:rPr>
          <w:color w:val="000000"/>
        </w:rPr>
        <w:t>People who are interested in, and wish to be kept informed of, the activities of the BCRA.</w:t>
      </w:r>
    </w:p>
    <w:p>
      <w:pPr>
        <w:pStyle w:val="Norm1Num"/>
        <w:numPr>
          <w:ilvl w:val="8"/>
          <w:numId w:val="8"/>
        </w:numPr>
        <w:rPr/>
      </w:pPr>
      <w:r>
        <w:rPr>
          <w:color w:val="000000"/>
        </w:rPr>
        <w:t>Subject to the person’s consent, this may include information selected and forwarded by the Charity on activities by other organisations which are relevant to those of the BCRA .</w:t>
        <w:br/>
      </w:r>
      <w:r>
        <w:rPr>
          <w:b/>
          <w:color w:val="000000"/>
        </w:rPr>
        <w:t>Note:</w:t>
      </w:r>
      <w:r>
        <w:rPr>
          <w:color w:val="000000"/>
        </w:rPr>
        <w:t xml:space="preserve"> this will not involve providing the person’s personal data to another organisation.</w:t>
      </w:r>
    </w:p>
    <w:p>
      <w:pPr>
        <w:pStyle w:val="Norm1Num"/>
        <w:numPr>
          <w:ilvl w:val="8"/>
          <w:numId w:val="8"/>
        </w:numPr>
        <w:rPr/>
      </w:pPr>
      <w:r>
        <w:rPr>
          <w:color w:val="000000"/>
        </w:rPr>
        <w:t>The information collected may additionally contain details of any particular areas of interest about which the person wishes to be kept informed.</w:t>
      </w:r>
    </w:p>
    <w:p>
      <w:pPr>
        <w:pStyle w:val="Norm1Num"/>
        <w:numPr>
          <w:ilvl w:val="8"/>
          <w:numId w:val="8"/>
        </w:numPr>
        <w:rPr>
          <w:color w:val="000000"/>
        </w:rPr>
      </w:pPr>
      <w:r>
        <w:rPr>
          <w:color w:val="000000"/>
        </w:rPr>
        <w:t>The information provided will be held and processed solely for the purpose of providing the information requested by the person.</w:t>
      </w:r>
    </w:p>
    <w:p>
      <w:pPr>
        <w:pStyle w:val="Heading2"/>
        <w:numPr>
          <w:ilvl w:val="1"/>
          <w:numId w:val="5"/>
        </w:numPr>
        <w:ind w:left="567" w:hanging="567"/>
        <w:rPr>
          <w:color w:val="000000"/>
        </w:rPr>
      </w:pPr>
      <w:bookmarkStart w:id="17" w:name="_Ref504308245"/>
      <w:bookmarkStart w:id="18" w:name="_Toc513035030"/>
      <w:bookmarkStart w:id="19" w:name="_Toc88221146"/>
      <w:r>
        <w:rPr>
          <w:color w:val="000000"/>
        </w:rPr>
        <w:t>By Contract</w:t>
      </w:r>
      <w:bookmarkEnd w:id="17"/>
      <w:bookmarkEnd w:id="18"/>
      <w:bookmarkEnd w:id="19"/>
    </w:p>
    <w:p>
      <w:pPr>
        <w:pStyle w:val="Norm1"/>
        <w:ind w:left="567" w:hanging="0"/>
        <w:rPr>
          <w:color w:val="000000"/>
        </w:rPr>
      </w:pPr>
      <w:r>
        <w:rPr>
          <w:color w:val="000000"/>
        </w:rPr>
        <w:t>People who sell goods and/or services to, and/or purchase goods and/or services from the BCRA.</w:t>
      </w:r>
    </w:p>
    <w:p>
      <w:pPr>
        <w:pStyle w:val="Norm1"/>
        <w:ind w:left="567" w:hanging="0"/>
        <w:rPr>
          <w:color w:val="000000"/>
        </w:rPr>
      </w:pPr>
      <w:r>
        <w:rPr>
          <w:color w:val="000000"/>
        </w:rPr>
        <w:t>The information collected will additionally contain details of:</w:t>
      </w:r>
    </w:p>
    <w:p>
      <w:pPr>
        <w:pStyle w:val="Norm1Num"/>
        <w:numPr>
          <w:ilvl w:val="8"/>
          <w:numId w:val="9"/>
        </w:numPr>
        <w:rPr/>
      </w:pPr>
      <w:r>
        <w:rPr>
          <w:color w:val="000000"/>
        </w:rPr>
        <w:t>The goods/services being sold to, or purchased from the BCRA;</w:t>
      </w:r>
    </w:p>
    <w:p>
      <w:pPr>
        <w:pStyle w:val="Norm1Num"/>
        <w:numPr>
          <w:ilvl w:val="8"/>
          <w:numId w:val="9"/>
        </w:numPr>
        <w:rPr>
          <w:color w:val="000000"/>
        </w:rPr>
      </w:pPr>
      <w:r>
        <w:rPr>
          <w:color w:val="000000"/>
        </w:rPr>
        <w:t>Bank and other details necessary and relevant to the making or receiving of payments for the goods/services being sold to, or purchased from the BCRA.</w:t>
      </w:r>
    </w:p>
    <w:p>
      <w:pPr>
        <w:pStyle w:val="Norm1"/>
        <w:ind w:left="567" w:hanging="0"/>
        <w:rPr>
          <w:color w:val="000000"/>
        </w:rPr>
      </w:pPr>
      <w:r>
        <w:rPr>
          <w:color w:val="000000"/>
        </w:rPr>
        <w:t>The information provided will be held and processed solely for the purpose of managing the contract between the BCRA and the person for the supply or purchase of goods/services.</w:t>
      </w:r>
    </w:p>
    <w:p>
      <w:pPr>
        <w:pStyle w:val="Heading2"/>
        <w:numPr>
          <w:ilvl w:val="1"/>
          <w:numId w:val="5"/>
        </w:numPr>
        <w:ind w:left="567" w:hanging="567"/>
        <w:rPr>
          <w:color w:val="000000"/>
        </w:rPr>
      </w:pPr>
      <w:bookmarkStart w:id="20" w:name="_Ref504307418"/>
      <w:bookmarkStart w:id="21" w:name="_Toc513035031"/>
      <w:bookmarkStart w:id="22" w:name="_Toc88221147"/>
      <w:r>
        <w:rPr>
          <w:color w:val="000000"/>
        </w:rPr>
        <w:t>By Legal Obligation</w:t>
      </w:r>
      <w:bookmarkEnd w:id="20"/>
      <w:bookmarkEnd w:id="21"/>
      <w:bookmarkEnd w:id="22"/>
    </w:p>
    <w:p>
      <w:pPr>
        <w:pStyle w:val="Norm1"/>
        <w:ind w:left="567" w:hanging="0"/>
        <w:rPr>
          <w:color w:val="000000"/>
        </w:rPr>
      </w:pPr>
      <w:r>
        <w:rPr>
          <w:color w:val="000000"/>
        </w:rPr>
        <w:t xml:space="preserve">People where there is a legal obligation on the BCRA to collect, process and share information with a third party – </w:t>
      </w:r>
      <w:r>
        <w:rPr>
          <w:i/>
          <w:color w:val="000000"/>
        </w:rPr>
        <w:t>eg:</w:t>
      </w:r>
      <w:r>
        <w:rPr>
          <w:color w:val="000000"/>
        </w:rPr>
        <w:t xml:space="preserve"> the legal obligations to collect, process and share with HM Revenue &amp; Customs payroll information on employees of the BCRA.</w:t>
      </w:r>
    </w:p>
    <w:p>
      <w:pPr>
        <w:pStyle w:val="Norm1"/>
        <w:ind w:left="567" w:hanging="0"/>
        <w:rPr>
          <w:color w:val="000000"/>
        </w:rPr>
      </w:pPr>
      <w:r>
        <w:rPr>
          <w:color w:val="000000"/>
        </w:rPr>
        <w:t>The information provided will be held, processed and shared with others solely for the purpose meeting the BCRA’S legal obligations.</w:t>
      </w:r>
    </w:p>
    <w:p>
      <w:pPr>
        <w:pStyle w:val="Heading3"/>
        <w:numPr>
          <w:ilvl w:val="2"/>
          <w:numId w:val="5"/>
        </w:numPr>
        <w:ind w:left="567" w:hanging="0"/>
        <w:rPr>
          <w:color w:val="000000"/>
        </w:rPr>
      </w:pPr>
      <w:r>
        <w:rPr>
          <w:color w:val="000000"/>
        </w:rPr>
        <w:t>Employees;  Taxation;   Pensions</w:t>
      </w:r>
    </w:p>
    <w:p>
      <w:pPr>
        <w:pStyle w:val="Norm1"/>
        <w:ind w:left="567" w:hanging="0"/>
        <w:rPr>
          <w:color w:val="000000"/>
        </w:rPr>
      </w:pPr>
      <w:r>
        <w:rPr>
          <w:b/>
          <w:bCs/>
          <w:i/>
          <w:iCs/>
          <w:color w:val="000000"/>
          <w:sz w:val="20"/>
          <w:szCs w:val="20"/>
        </w:rPr>
        <w:t>Note:</w:t>
      </w:r>
      <w:r>
        <w:rPr>
          <w:i/>
          <w:iCs/>
          <w:color w:val="000000"/>
          <w:sz w:val="20"/>
          <w:szCs w:val="20"/>
        </w:rPr>
        <w:t xml:space="preserve">   Legal obligations to employees fall under the much broader “umbrella” of UK employment law, taxation law (HM Revenue &amp; Customs) and pensions law.</w:t>
        <w:br/>
      </w:r>
    </w:p>
    <w:p>
      <w:pPr>
        <w:pStyle w:val="Heading2"/>
        <w:numPr>
          <w:ilvl w:val="1"/>
          <w:numId w:val="5"/>
        </w:numPr>
        <w:ind w:left="567" w:hanging="567"/>
        <w:rPr>
          <w:color w:val="000000"/>
        </w:rPr>
      </w:pPr>
      <w:bookmarkStart w:id="23" w:name="_Toc513035032"/>
      <w:bookmarkStart w:id="24" w:name="_Toc88221148"/>
      <w:r>
        <w:rPr>
          <w:color w:val="000000"/>
        </w:rPr>
        <w:t>By Vital Interest</w:t>
      </w:r>
      <w:bookmarkEnd w:id="23"/>
      <w:bookmarkEnd w:id="24"/>
    </w:p>
    <w:p>
      <w:pPr>
        <w:pStyle w:val="Norm1"/>
        <w:ind w:left="567" w:hanging="0"/>
        <w:rPr>
          <w:color w:val="000000"/>
        </w:rPr>
      </w:pPr>
      <w:r>
        <w:rPr>
          <w:color w:val="000000"/>
        </w:rPr>
        <w:t>The BCRA undertakes no activities which require the collection, holding and/or processing of personal information for reasons of vital interest.</w:t>
      </w:r>
    </w:p>
    <w:p>
      <w:pPr>
        <w:pStyle w:val="Heading2"/>
        <w:numPr>
          <w:ilvl w:val="1"/>
          <w:numId w:val="5"/>
        </w:numPr>
        <w:ind w:left="567" w:hanging="567"/>
        <w:rPr>
          <w:color w:val="000000"/>
        </w:rPr>
      </w:pPr>
      <w:bookmarkStart w:id="25" w:name="_Ref504307462"/>
      <w:bookmarkStart w:id="26" w:name="_Ref504309380"/>
      <w:bookmarkStart w:id="27" w:name="_Toc513035033"/>
      <w:bookmarkStart w:id="28" w:name="_Toc88221149"/>
      <w:r>
        <w:rPr>
          <w:color w:val="000000"/>
        </w:rPr>
        <w:t>By Public Task</w:t>
      </w:r>
      <w:bookmarkEnd w:id="25"/>
      <w:bookmarkEnd w:id="26"/>
      <w:bookmarkEnd w:id="27"/>
      <w:bookmarkEnd w:id="28"/>
    </w:p>
    <w:p>
      <w:pPr>
        <w:pStyle w:val="Norm1"/>
        <w:ind w:left="567" w:hanging="0"/>
        <w:rPr>
          <w:color w:val="000000"/>
        </w:rPr>
      </w:pPr>
      <w:r>
        <w:rPr>
          <w:color w:val="000000"/>
        </w:rPr>
        <w:t>The Charity undertakes no public tasks which require the collection, holding and/or processing of personal information.</w:t>
      </w:r>
    </w:p>
    <w:p>
      <w:pPr>
        <w:pStyle w:val="Heading2"/>
        <w:numPr>
          <w:ilvl w:val="1"/>
          <w:numId w:val="5"/>
        </w:numPr>
        <w:ind w:left="567" w:hanging="567"/>
        <w:rPr>
          <w:color w:val="000000"/>
        </w:rPr>
      </w:pPr>
      <w:bookmarkStart w:id="29" w:name="_Ref504309386"/>
      <w:bookmarkStart w:id="30" w:name="_Toc513035034"/>
      <w:bookmarkStart w:id="31" w:name="_Toc88221150"/>
      <w:r>
        <w:rPr>
          <w:color w:val="000000"/>
        </w:rPr>
        <w:t>Legitimate Interest</w:t>
      </w:r>
      <w:bookmarkEnd w:id="29"/>
      <w:bookmarkEnd w:id="30"/>
      <w:bookmarkEnd w:id="31"/>
    </w:p>
    <w:p>
      <w:pPr>
        <w:pStyle w:val="Heading3"/>
        <w:numPr>
          <w:ilvl w:val="2"/>
          <w:numId w:val="5"/>
        </w:numPr>
        <w:rPr>
          <w:color w:val="000000"/>
        </w:rPr>
      </w:pPr>
      <w:r>
        <w:rPr>
          <w:color w:val="000000"/>
        </w:rPr>
        <w:t>Volunteers, Including Trustees</w:t>
      </w:r>
    </w:p>
    <w:p>
      <w:pPr>
        <w:pStyle w:val="Norm1"/>
        <w:ind w:left="567" w:hanging="0"/>
        <w:rPr>
          <w:color w:val="000000"/>
        </w:rPr>
      </w:pPr>
      <w:r>
        <w:rPr>
          <w:color w:val="000000"/>
        </w:rPr>
        <w:t xml:space="preserve">In order to be able to operate efficiently, effectively and economically, it is in the legitimate interests of the BCRA  to hold such personal information on its volunteers and trustees as will enable the BCRA to communicate with its volunteers on matters relating to the operation of the charity, </w:t>
      </w:r>
      <w:r>
        <w:rPr>
          <w:i/>
          <w:iCs/>
          <w:color w:val="000000"/>
        </w:rPr>
        <w:t>eg:</w:t>
      </w:r>
    </w:p>
    <w:p>
      <w:pPr>
        <w:pStyle w:val="TickList"/>
        <w:numPr>
          <w:ilvl w:val="0"/>
          <w:numId w:val="1"/>
        </w:numPr>
        <w:ind w:left="993" w:hanging="425"/>
        <w:rPr/>
      </w:pPr>
      <w:r>
        <w:rPr>
          <w:color w:val="000000"/>
        </w:rPr>
        <w:t>the holding of meetings;</w:t>
      </w:r>
    </w:p>
    <w:p>
      <w:pPr>
        <w:pStyle w:val="TickList"/>
        <w:numPr>
          <w:ilvl w:val="0"/>
          <w:numId w:val="1"/>
        </w:numPr>
        <w:ind w:left="993" w:hanging="425"/>
        <w:rPr/>
      </w:pPr>
      <w:r>
        <w:rPr>
          <w:color w:val="000000"/>
        </w:rPr>
        <w:t>providing information about the BCRA’S activities – particularly those activities which, by their nature, are likely to be of particular interest to individual volunteers/trustees;</w:t>
      </w:r>
    </w:p>
    <w:p>
      <w:pPr>
        <w:pStyle w:val="TickList"/>
        <w:numPr>
          <w:ilvl w:val="0"/>
          <w:numId w:val="1"/>
        </w:numPr>
        <w:ind w:left="993" w:hanging="425"/>
        <w:rPr/>
      </w:pPr>
      <w:r>
        <w:rPr>
          <w:color w:val="000000"/>
        </w:rPr>
        <w:t>seeking help, support and advice from volunteers/trustees, particularly where they have specific knowledge and experience;</w:t>
      </w:r>
    </w:p>
    <w:p>
      <w:pPr>
        <w:pStyle w:val="TickList"/>
        <w:numPr>
          <w:ilvl w:val="0"/>
          <w:numId w:val="1"/>
        </w:numPr>
        <w:ind w:left="993" w:hanging="425"/>
        <w:rPr>
          <w:color w:val="000000"/>
        </w:rPr>
      </w:pPr>
      <w:r>
        <w:rPr>
          <w:color w:val="000000"/>
        </w:rPr>
        <w:t>ensuring that any particular needs of the volunteer/trustee are appropriately and sensitively accommodated when organising meetings and other activities of the BCRA.</w:t>
      </w:r>
    </w:p>
    <w:p>
      <w:pPr>
        <w:pStyle w:val="Heading3"/>
        <w:numPr>
          <w:ilvl w:val="2"/>
          <w:numId w:val="5"/>
        </w:numPr>
        <w:rPr>
          <w:color w:val="000000"/>
        </w:rPr>
      </w:pPr>
      <w:r>
        <w:rPr>
          <w:color w:val="000000"/>
        </w:rPr>
        <w:t>Closed Circuit TV (CCTV) Recording</w:t>
      </w:r>
    </w:p>
    <w:p>
      <w:pPr>
        <w:pStyle w:val="Norm1"/>
        <w:ind w:left="567" w:hanging="0"/>
        <w:rPr>
          <w:color w:val="000000"/>
        </w:rPr>
      </w:pPr>
      <w:r>
        <w:rPr>
          <w:color w:val="000000"/>
        </w:rPr>
        <w:t>The BCRA collects video CCTV images of people entering and moving around its premises in order to safeguard its collection from theft and vandalism, as required by its insurers.</w:t>
      </w:r>
    </w:p>
    <w:p>
      <w:pPr>
        <w:pStyle w:val="Norm1"/>
        <w:ind w:left="567" w:hanging="0"/>
        <w:rPr>
          <w:color w:val="000000"/>
        </w:rPr>
      </w:pPr>
      <w:r>
        <w:rPr>
          <w:color w:val="000000"/>
        </w:rPr>
        <w:t>The information collected is only processed and, where appropriate, shared with other authorities (eg: the Police) where it is necessary to investigate a potential crime.</w:t>
      </w:r>
    </w:p>
    <w:p>
      <w:pPr>
        <w:pStyle w:val="Heading1"/>
        <w:numPr>
          <w:ilvl w:val="0"/>
          <w:numId w:val="5"/>
        </w:numPr>
        <w:rPr>
          <w:color w:val="000000"/>
        </w:rPr>
      </w:pPr>
      <w:bookmarkStart w:id="32" w:name="_Toc513035015"/>
      <w:bookmarkStart w:id="33" w:name="_Toc513035035"/>
      <w:bookmarkStart w:id="34" w:name="_Toc88221151"/>
      <w:r>
        <w:rPr>
          <w:color w:val="000000"/>
        </w:rPr>
        <w:t>Individual Rights</w:t>
      </w:r>
      <w:bookmarkEnd w:id="32"/>
      <w:bookmarkEnd w:id="33"/>
      <w:bookmarkEnd w:id="34"/>
    </w:p>
    <w:p>
      <w:pPr>
        <w:pStyle w:val="Norm1"/>
        <w:ind w:left="567" w:hanging="0"/>
        <w:rPr/>
      </w:pPr>
      <w:r>
        <w:rPr>
          <w:b/>
          <w:color w:val="000000"/>
          <w:sz w:val="20"/>
          <w:szCs w:val="20"/>
        </w:rPr>
        <w:t xml:space="preserve">Note:  </w:t>
      </w:r>
      <w:r>
        <w:rPr>
          <w:color w:val="000000"/>
          <w:sz w:val="20"/>
          <w:szCs w:val="20"/>
        </w:rPr>
        <w:t>The following clauses are taken primarily from the guidance provided by the Office of the Information Commissioner,</w:t>
        <w:br/>
      </w:r>
      <w:hyperlink r:id="rId3">
        <w:r>
          <w:rPr>
            <w:rStyle w:val="InternetLink"/>
            <w:i/>
            <w:color w:val="000000"/>
            <w:sz w:val="16"/>
            <w:szCs w:val="16"/>
          </w:rPr>
          <w:t>https://ico.org.uk/for-organisations/guide-to-the-general-data-protection-regulation-gdpr/individual-rights/right-to-be-informed/</w:t>
        </w:r>
      </w:hyperlink>
      <w:r>
        <w:rPr>
          <w:i/>
          <w:color w:val="000000"/>
          <w:sz w:val="16"/>
          <w:szCs w:val="16"/>
        </w:rPr>
        <w:t xml:space="preserve"> </w:t>
      </w:r>
    </w:p>
    <w:p>
      <w:pPr>
        <w:pStyle w:val="Heading2"/>
        <w:numPr>
          <w:ilvl w:val="1"/>
          <w:numId w:val="5"/>
        </w:numPr>
        <w:ind w:left="567" w:hanging="567"/>
        <w:rPr>
          <w:color w:val="000000"/>
        </w:rPr>
      </w:pPr>
      <w:bookmarkStart w:id="35" w:name="_Ref504322460"/>
      <w:bookmarkStart w:id="36" w:name="_Toc513035036"/>
      <w:bookmarkStart w:id="37" w:name="_Toc88221152"/>
      <w:r>
        <w:rPr>
          <w:color w:val="000000"/>
        </w:rPr>
        <w:t>The right to be informed</w:t>
      </w:r>
      <w:bookmarkEnd w:id="35"/>
      <w:bookmarkEnd w:id="36"/>
      <w:bookmarkEnd w:id="37"/>
    </w:p>
    <w:p>
      <w:pPr>
        <w:pStyle w:val="Norm1"/>
        <w:spacing w:before="0" w:after="0"/>
        <w:ind w:left="567" w:hanging="0"/>
        <w:rPr>
          <w:color w:val="000000"/>
        </w:rPr>
      </w:pPr>
      <w:r>
        <w:rPr>
          <w:rFonts w:cs="Tahoma"/>
          <w:b/>
          <w:bCs/>
          <w:i/>
          <w:color w:val="000000"/>
          <w:szCs w:val="22"/>
        </w:rPr>
        <w:t>{Précised from Arts: 12-14}</w:t>
      </w:r>
    </w:p>
    <w:p>
      <w:pPr>
        <w:pStyle w:val="Norm1"/>
        <w:ind w:left="567" w:hanging="0"/>
        <w:rPr>
          <w:color w:val="000000"/>
        </w:rPr>
      </w:pPr>
      <w:r>
        <w:rPr>
          <w:color w:val="000000"/>
        </w:rPr>
        <w:t>When collecting personal information the BCRA will provide to the data subject free of charge, a Privacy Policy written in clear and plain language which is concise, transparent, intelligible and easily accessible containing the following information:</w:t>
      </w:r>
    </w:p>
    <w:p>
      <w:pPr>
        <w:pStyle w:val="BulletLevel0"/>
        <w:numPr>
          <w:ilvl w:val="0"/>
          <w:numId w:val="2"/>
        </w:numPr>
        <w:ind w:left="1134" w:hanging="425"/>
        <w:rPr/>
      </w:pPr>
      <w:r>
        <w:rPr>
          <w:color w:val="000000"/>
        </w:rPr>
        <w:t>Identity and contact details of the controller</w:t>
        <w:br/>
      </w:r>
      <w:r>
        <w:rPr>
          <w:b/>
          <w:i/>
          <w:iCs/>
          <w:color w:val="000000"/>
          <w:sz w:val="20"/>
          <w:szCs w:val="20"/>
        </w:rPr>
        <w:t>Note:</w:t>
      </w:r>
      <w:r>
        <w:rPr>
          <w:i/>
          <w:iCs/>
          <w:color w:val="000000"/>
          <w:sz w:val="20"/>
          <w:szCs w:val="20"/>
        </w:rPr>
        <w:t xml:space="preserve"> where the organisation has a controller’s representative and/or a data protection officer, their contact details should also be included</w:t>
      </w:r>
      <w:r>
        <w:rPr>
          <w:color w:val="000000"/>
          <w:sz w:val="20"/>
          <w:szCs w:val="20"/>
        </w:rPr>
        <w:t>.</w:t>
      </w:r>
    </w:p>
    <w:p>
      <w:pPr>
        <w:pStyle w:val="BulletLevel0"/>
        <w:numPr>
          <w:ilvl w:val="0"/>
          <w:numId w:val="2"/>
        </w:numPr>
        <w:ind w:left="1134" w:hanging="425"/>
        <w:rPr/>
      </w:pPr>
      <w:r>
        <w:rPr>
          <w:color w:val="000000"/>
        </w:rPr>
        <w:t>Purpose of the processing and the lawful basis for the processing</w:t>
      </w:r>
    </w:p>
    <w:p>
      <w:pPr>
        <w:pStyle w:val="BulletLevel0"/>
        <w:numPr>
          <w:ilvl w:val="0"/>
          <w:numId w:val="2"/>
        </w:numPr>
        <w:ind w:left="1134" w:hanging="425"/>
        <w:rPr/>
      </w:pPr>
      <w:r>
        <w:rPr>
          <w:color w:val="000000"/>
        </w:rPr>
        <w:t>The legitimate interests of the controller or third party, where applicable</w:t>
      </w:r>
    </w:p>
    <w:p>
      <w:pPr>
        <w:pStyle w:val="BulletLevel0"/>
        <w:numPr>
          <w:ilvl w:val="0"/>
          <w:numId w:val="2"/>
        </w:numPr>
        <w:ind w:left="1134" w:hanging="425"/>
        <w:rPr/>
      </w:pPr>
      <w:r>
        <w:rPr>
          <w:color w:val="000000"/>
        </w:rPr>
        <w:t>Categories of personal data;</w:t>
        <w:br/>
        <w:t>Not applicable if the data are obtained directly from the data subject</w:t>
      </w:r>
    </w:p>
    <w:p>
      <w:pPr>
        <w:pStyle w:val="BulletLevel0"/>
        <w:numPr>
          <w:ilvl w:val="0"/>
          <w:numId w:val="2"/>
        </w:numPr>
        <w:ind w:left="1134" w:hanging="425"/>
        <w:rPr/>
      </w:pPr>
      <w:r>
        <w:rPr>
          <w:color w:val="000000"/>
        </w:rPr>
        <w:t>Any recipient or categories of recipients of the personal data</w:t>
      </w:r>
    </w:p>
    <w:p>
      <w:pPr>
        <w:pStyle w:val="BulletLevel0"/>
        <w:numPr>
          <w:ilvl w:val="0"/>
          <w:numId w:val="2"/>
        </w:numPr>
        <w:ind w:left="1134" w:hanging="425"/>
        <w:rPr/>
      </w:pPr>
      <w:r>
        <w:rPr>
          <w:color w:val="000000"/>
        </w:rPr>
        <w:t>Details of transfers to third country and safeguards</w:t>
      </w:r>
    </w:p>
    <w:p>
      <w:pPr>
        <w:pStyle w:val="BulletLevel0"/>
        <w:numPr>
          <w:ilvl w:val="0"/>
          <w:numId w:val="2"/>
        </w:numPr>
        <w:ind w:left="1134" w:hanging="425"/>
        <w:rPr/>
      </w:pPr>
      <w:r>
        <w:rPr>
          <w:color w:val="000000"/>
        </w:rPr>
        <w:t>Retention period or criteria used to determine the retention period</w:t>
      </w:r>
    </w:p>
    <w:p>
      <w:pPr>
        <w:pStyle w:val="BulletLevel0"/>
        <w:numPr>
          <w:ilvl w:val="0"/>
          <w:numId w:val="2"/>
        </w:numPr>
        <w:ind w:left="1134" w:hanging="425"/>
        <w:rPr/>
      </w:pPr>
      <w:r>
        <w:rPr>
          <w:color w:val="000000"/>
        </w:rPr>
        <w:t>The existence of each of data subject’s rights</w:t>
      </w:r>
    </w:p>
    <w:p>
      <w:pPr>
        <w:pStyle w:val="BulletLevel0"/>
        <w:numPr>
          <w:ilvl w:val="0"/>
          <w:numId w:val="2"/>
        </w:numPr>
        <w:ind w:left="1134" w:hanging="425"/>
        <w:rPr/>
      </w:pPr>
      <w:r>
        <w:rPr>
          <w:color w:val="000000"/>
        </w:rPr>
        <w:t>The right to withdraw consent at any time, where relevant</w:t>
      </w:r>
    </w:p>
    <w:p>
      <w:pPr>
        <w:pStyle w:val="BulletLevel0"/>
        <w:numPr>
          <w:ilvl w:val="0"/>
          <w:numId w:val="2"/>
        </w:numPr>
        <w:ind w:left="1134" w:hanging="425"/>
        <w:rPr/>
      </w:pPr>
      <w:r>
        <w:rPr>
          <w:color w:val="000000"/>
        </w:rPr>
        <w:t>The right to lodge a complaint with a supervisory authority</w:t>
      </w:r>
    </w:p>
    <w:p>
      <w:pPr>
        <w:pStyle w:val="BulletLevel0"/>
        <w:numPr>
          <w:ilvl w:val="0"/>
          <w:numId w:val="2"/>
        </w:numPr>
        <w:ind w:left="1134" w:hanging="425"/>
        <w:rPr/>
      </w:pPr>
      <w:r>
        <w:rPr>
          <w:color w:val="000000"/>
        </w:rPr>
        <w:t xml:space="preserve">The source the personal data originates from and whether it came from publicly accessible sources </w:t>
        <w:br/>
      </w:r>
      <w:r>
        <w:rPr>
          <w:b/>
          <w:color w:val="000000"/>
          <w:sz w:val="20"/>
          <w:szCs w:val="20"/>
        </w:rPr>
        <w:t>Not applicable if the data are obtained directly from the data subject</w:t>
      </w:r>
    </w:p>
    <w:p>
      <w:pPr>
        <w:pStyle w:val="BulletLevel0"/>
        <w:numPr>
          <w:ilvl w:val="0"/>
          <w:numId w:val="2"/>
        </w:numPr>
        <w:ind w:left="1134" w:hanging="425"/>
        <w:rPr/>
      </w:pPr>
      <w:r>
        <w:rPr>
          <w:color w:val="000000"/>
        </w:rPr>
        <w:t xml:space="preserve">Whether the provision of personal data is part of a statutory or contractual requirement or obligation and possible consequences of failing to provide the personal data </w:t>
        <w:br/>
      </w:r>
      <w:r>
        <w:rPr>
          <w:b/>
          <w:color w:val="000000"/>
          <w:sz w:val="20"/>
          <w:szCs w:val="20"/>
        </w:rPr>
        <w:t>Not applicable if the data are NOT obtained directly from the data subject</w:t>
      </w:r>
    </w:p>
    <w:p>
      <w:pPr>
        <w:pStyle w:val="BulletLevel0"/>
        <w:numPr>
          <w:ilvl w:val="0"/>
          <w:numId w:val="2"/>
        </w:numPr>
        <w:ind w:left="1134" w:hanging="425"/>
        <w:rPr>
          <w:color w:val="000000"/>
        </w:rPr>
      </w:pPr>
      <w:r>
        <w:rPr>
          <w:color w:val="000000"/>
        </w:rPr>
        <w:t>The existence of automated decision making, including profiling and information about how decisions are made, the significance and the consequences.</w:t>
      </w:r>
    </w:p>
    <w:p>
      <w:pPr>
        <w:pStyle w:val="Norm1"/>
        <w:ind w:left="567" w:hanging="0"/>
        <w:rPr>
          <w:color w:val="000000"/>
        </w:rPr>
      </w:pPr>
      <w:r>
        <w:rPr>
          <w:color w:val="000000"/>
        </w:rPr>
        <w:t>In the case of data obtained directly from the data subject, the information will be provided at the time the data are obtained.</w:t>
      </w:r>
    </w:p>
    <w:p>
      <w:pPr>
        <w:pStyle w:val="Norm1"/>
        <w:ind w:left="567" w:hanging="0"/>
        <w:rPr>
          <w:color w:val="000000"/>
        </w:rPr>
      </w:pPr>
      <w:r>
        <w:rPr>
          <w:color w:val="000000"/>
        </w:rPr>
        <w:t>In the case that the data are not obtained directly from the data subject, the information will be provided within a reasonable period of the Charity having obtained the data (within one month),</w:t>
      </w:r>
      <w:r>
        <w:rPr>
          <w:i/>
          <w:color w:val="000000"/>
        </w:rPr>
        <w:t xml:space="preserve"> </w:t>
      </w:r>
      <w:r>
        <w:rPr>
          <w:b/>
          <w:i/>
          <w:color w:val="000000"/>
        </w:rPr>
        <w:t>or</w:t>
      </w:r>
      <w:r>
        <w:rPr>
          <w:i/>
          <w:color w:val="000000"/>
        </w:rPr>
        <w:t>,</w:t>
      </w:r>
      <w:r>
        <w:rPr>
          <w:color w:val="000000"/>
        </w:rPr>
        <w:br/>
        <w:t>if the data are used to communicate with the data subject, at the latest, when the first communication takes place</w:t>
      </w:r>
      <w:r>
        <w:rPr>
          <w:i/>
          <w:color w:val="000000"/>
        </w:rPr>
        <w:t xml:space="preserve">; </w:t>
      </w:r>
      <w:r>
        <w:rPr>
          <w:b/>
          <w:i/>
          <w:color w:val="000000"/>
        </w:rPr>
        <w:t>or</w:t>
      </w:r>
      <w:r>
        <w:rPr>
          <w:color w:val="000000"/>
        </w:rPr>
        <w:br/>
        <w:t>if disclosure to another recipient is envisaged, at the latest, before the data are disclosed.</w:t>
      </w:r>
    </w:p>
    <w:p>
      <w:pPr>
        <w:pStyle w:val="Heading2"/>
        <w:numPr>
          <w:ilvl w:val="1"/>
          <w:numId w:val="5"/>
        </w:numPr>
        <w:ind w:left="567" w:hanging="567"/>
        <w:rPr>
          <w:color w:val="000000"/>
        </w:rPr>
      </w:pPr>
      <w:bookmarkStart w:id="38" w:name="_Toc513035037"/>
      <w:bookmarkStart w:id="39" w:name="_Toc88221153"/>
      <w:r>
        <w:rPr>
          <w:color w:val="000000"/>
        </w:rPr>
        <w:t>The right of access</w:t>
      </w:r>
      <w:bookmarkEnd w:id="38"/>
      <w:bookmarkEnd w:id="39"/>
    </w:p>
    <w:p>
      <w:pPr>
        <w:pStyle w:val="Norm1"/>
        <w:spacing w:before="0" w:after="0"/>
        <w:ind w:left="567" w:hanging="0"/>
        <w:rPr>
          <w:color w:val="000000"/>
        </w:rPr>
      </w:pPr>
      <w:r>
        <w:rPr>
          <w:rFonts w:cs="Tahoma"/>
          <w:b/>
          <w:bCs/>
          <w:i/>
          <w:color w:val="000000"/>
          <w:szCs w:val="22"/>
        </w:rPr>
        <w:t>{Précised from Art:15}</w:t>
      </w:r>
    </w:p>
    <w:p>
      <w:pPr>
        <w:pStyle w:val="Norm1"/>
        <w:ind w:left="567" w:hanging="0"/>
        <w:rPr>
          <w:color w:val="000000"/>
        </w:rPr>
      </w:pPr>
      <w:r>
        <w:rPr>
          <w:color w:val="000000"/>
        </w:rPr>
        <w:t>The data subject shall have the right to obtain from the controller confirmation as to whether or not personal data concerning him/her are being processed, and, where that is the case, access to his/her personal data and the information detailed in the Charity’s relevant Privacy Policy:</w:t>
      </w:r>
    </w:p>
    <w:p>
      <w:pPr>
        <w:pStyle w:val="Heading2"/>
        <w:numPr>
          <w:ilvl w:val="1"/>
          <w:numId w:val="5"/>
        </w:numPr>
        <w:ind w:left="567" w:hanging="567"/>
        <w:rPr>
          <w:color w:val="000000"/>
        </w:rPr>
      </w:pPr>
      <w:bookmarkStart w:id="40" w:name="_Toc513035038"/>
      <w:bookmarkStart w:id="41" w:name="_Toc88221154"/>
      <w:r>
        <w:rPr>
          <w:color w:val="000000"/>
        </w:rPr>
        <w:t>The right to rectification</w:t>
      </w:r>
      <w:bookmarkEnd w:id="40"/>
      <w:bookmarkEnd w:id="41"/>
    </w:p>
    <w:p>
      <w:pPr>
        <w:pStyle w:val="Norm1"/>
        <w:spacing w:before="0" w:after="0"/>
        <w:ind w:left="567" w:hanging="0"/>
        <w:rPr>
          <w:color w:val="000000"/>
        </w:rPr>
      </w:pPr>
      <w:r>
        <w:rPr>
          <w:rFonts w:cs="Tahoma"/>
          <w:b/>
          <w:bCs/>
          <w:i/>
          <w:color w:val="000000"/>
          <w:szCs w:val="22"/>
        </w:rPr>
        <w:t>{Précised from Art:16}</w:t>
      </w:r>
    </w:p>
    <w:p>
      <w:pPr>
        <w:pStyle w:val="Norm1"/>
        <w:ind w:left="567" w:hanging="0"/>
        <w:rPr>
          <w:color w:val="000000"/>
        </w:rPr>
      </w:pPr>
      <w:r>
        <w:rPr>
          <w:color w:val="000000"/>
        </w:rPr>
        <w:t>The data subject shall have the right to require the controller without undue delay to rectify any inaccurate or incomplete personal data concerning him/her.</w:t>
      </w:r>
    </w:p>
    <w:p>
      <w:pPr>
        <w:pStyle w:val="Heading2"/>
        <w:numPr>
          <w:ilvl w:val="1"/>
          <w:numId w:val="5"/>
        </w:numPr>
        <w:ind w:left="567" w:hanging="567"/>
        <w:rPr>
          <w:color w:val="000000"/>
        </w:rPr>
      </w:pPr>
      <w:bookmarkStart w:id="42" w:name="_Ref504331705"/>
      <w:bookmarkStart w:id="43" w:name="_Toc513035039"/>
      <w:bookmarkStart w:id="44" w:name="_Toc88221155"/>
      <w:r>
        <w:rPr>
          <w:color w:val="000000"/>
        </w:rPr>
        <w:t>The right to erase  {The right to be forgotten}</w:t>
      </w:r>
      <w:bookmarkEnd w:id="42"/>
      <w:bookmarkEnd w:id="43"/>
      <w:bookmarkEnd w:id="44"/>
    </w:p>
    <w:p>
      <w:pPr>
        <w:pStyle w:val="Norm1"/>
        <w:spacing w:before="0" w:after="0"/>
        <w:ind w:left="567" w:hanging="0"/>
        <w:rPr>
          <w:color w:val="000000"/>
        </w:rPr>
      </w:pPr>
      <w:r>
        <w:rPr>
          <w:rFonts w:cs="Tahoma"/>
          <w:b/>
          <w:bCs/>
          <w:i/>
          <w:color w:val="000000"/>
          <w:szCs w:val="22"/>
        </w:rPr>
        <w:t>{Précised from Art:17}</w:t>
      </w:r>
    </w:p>
    <w:p>
      <w:pPr>
        <w:pStyle w:val="Norm1"/>
        <w:ind w:left="567" w:hanging="0"/>
        <w:rPr>
          <w:color w:val="000000"/>
        </w:rPr>
      </w:pPr>
      <w:r>
        <w:rPr>
          <w:color w:val="000000"/>
        </w:rPr>
        <w:t>Except where the data are held for purposes of legal obligation or public task (</w:t>
      </w:r>
      <w:r>
        <w:rPr>
          <w:color w:val="000000"/>
        </w:rPr>
        <w:fldChar w:fldCharType="begin"/>
      </w:r>
      <w:r>
        <w:rPr>
          <w:color w:val="000000"/>
        </w:rPr>
        <w:instrText xml:space="preserve"> REF _Ref504307418 \r \h </w:instrText>
      </w:r>
      <w:r>
        <w:rPr>
          <w:color w:val="000000"/>
        </w:rPr>
        <w:fldChar w:fldCharType="separate"/>
      </w:r>
      <w:r>
        <w:rPr>
          <w:color w:val="000000"/>
        </w:rPr>
        <w:t>4.3</w:t>
      </w:r>
      <w:r>
        <w:rPr>
          <w:color w:val="000000"/>
        </w:rPr>
        <w:fldChar w:fldCharType="end"/>
      </w:r>
      <w:r>
        <w:rPr>
          <w:color w:val="000000"/>
        </w:rPr>
        <w:t xml:space="preserve"> or </w:t>
      </w:r>
      <w:r>
        <w:rPr>
          <w:color w:val="000000"/>
        </w:rPr>
        <w:fldChar w:fldCharType="begin"/>
      </w:r>
      <w:r>
        <w:rPr>
          <w:color w:val="000000"/>
        </w:rPr>
        <w:instrText xml:space="preserve"> REF _Ref504307462 \r \h </w:instrText>
      </w:r>
      <w:r>
        <w:rPr>
          <w:color w:val="000000"/>
        </w:rPr>
        <w:fldChar w:fldCharType="separate"/>
      </w:r>
      <w:r>
        <w:rPr>
          <w:color w:val="000000"/>
        </w:rPr>
        <w:t>4.5</w:t>
      </w:r>
      <w:r>
        <w:rPr>
          <w:color w:val="000000"/>
        </w:rPr>
        <w:fldChar w:fldCharType="end"/>
      </w:r>
      <w:r>
        <w:rPr>
          <w:color w:val="000000"/>
        </w:rPr>
        <w:t>) the data subject shall have the right to require the controller without undue delay to erase any personal data concerning him/her.</w:t>
        <w:br/>
      </w:r>
      <w:r>
        <w:rPr>
          <w:b/>
          <w:bCs/>
          <w:i/>
          <w:iCs/>
          <w:color w:val="000000"/>
          <w:sz w:val="20"/>
          <w:szCs w:val="20"/>
        </w:rPr>
        <w:t>Note:</w:t>
      </w:r>
      <w:r>
        <w:rPr>
          <w:i/>
          <w:iCs/>
          <w:color w:val="000000"/>
          <w:sz w:val="20"/>
          <w:szCs w:val="20"/>
        </w:rPr>
        <w:t xml:space="preserve">  This provision is also known as “The right to be forgotten”</w:t>
      </w:r>
      <w:r>
        <w:rPr>
          <w:color w:val="000000"/>
        </w:rPr>
        <w:t>.</w:t>
      </w:r>
    </w:p>
    <w:p>
      <w:pPr>
        <w:pStyle w:val="Heading2"/>
        <w:numPr>
          <w:ilvl w:val="1"/>
          <w:numId w:val="5"/>
        </w:numPr>
        <w:ind w:left="567" w:hanging="567"/>
        <w:rPr>
          <w:color w:val="000000"/>
        </w:rPr>
      </w:pPr>
      <w:bookmarkStart w:id="45" w:name="_Toc513035040"/>
      <w:bookmarkStart w:id="46" w:name="_Toc88221156"/>
      <w:r>
        <w:rPr>
          <w:color w:val="000000"/>
        </w:rPr>
        <w:t>The right to restrict processing</w:t>
      </w:r>
      <w:bookmarkEnd w:id="45"/>
      <w:bookmarkEnd w:id="46"/>
    </w:p>
    <w:p>
      <w:pPr>
        <w:pStyle w:val="Norm1"/>
        <w:spacing w:before="0" w:after="0"/>
        <w:ind w:left="567" w:hanging="0"/>
        <w:rPr>
          <w:color w:val="000000"/>
        </w:rPr>
      </w:pPr>
      <w:r>
        <w:rPr>
          <w:rFonts w:cs="Tahoma"/>
          <w:b/>
          <w:bCs/>
          <w:i/>
          <w:color w:val="000000"/>
          <w:szCs w:val="22"/>
        </w:rPr>
        <w:t>{Précised from Art:18}</w:t>
      </w:r>
    </w:p>
    <w:p>
      <w:pPr>
        <w:pStyle w:val="Norm1"/>
        <w:ind w:left="567" w:hanging="0"/>
        <w:rPr>
          <w:color w:val="000000"/>
        </w:rPr>
      </w:pPr>
      <w:r>
        <w:rPr>
          <w:color w:val="000000"/>
        </w:rPr>
        <w:t>Where there is a dispute between the data subject and the Controller about the accuracy, validity or legality of data held by the Charity the data subject shall have the right to require the controlled to cease processing the data for a reasonable period of time to allow the dispute to be resolved.</w:t>
      </w:r>
    </w:p>
    <w:p>
      <w:pPr>
        <w:pStyle w:val="Heading2"/>
        <w:numPr>
          <w:ilvl w:val="1"/>
          <w:numId w:val="5"/>
        </w:numPr>
        <w:ind w:left="567" w:hanging="567"/>
        <w:rPr>
          <w:color w:val="000000"/>
        </w:rPr>
      </w:pPr>
      <w:bookmarkStart w:id="47" w:name="_Toc513035041"/>
      <w:bookmarkStart w:id="48" w:name="_Toc88221157"/>
      <w:r>
        <w:rPr>
          <w:color w:val="000000"/>
        </w:rPr>
        <w:t>The right to data portability</w:t>
      </w:r>
      <w:bookmarkEnd w:id="47"/>
      <w:bookmarkEnd w:id="48"/>
    </w:p>
    <w:p>
      <w:pPr>
        <w:pStyle w:val="Norm1"/>
        <w:spacing w:before="0" w:after="0"/>
        <w:ind w:left="567" w:hanging="0"/>
        <w:rPr>
          <w:color w:val="000000"/>
        </w:rPr>
      </w:pPr>
      <w:r>
        <w:rPr>
          <w:rFonts w:cs="Tahoma"/>
          <w:b/>
          <w:bCs/>
          <w:i/>
          <w:color w:val="000000"/>
          <w:szCs w:val="22"/>
        </w:rPr>
        <w:t>{Précised from Art:20}</w:t>
      </w:r>
    </w:p>
    <w:p>
      <w:pPr>
        <w:pStyle w:val="Norm1"/>
        <w:ind w:left="567" w:hanging="0"/>
        <w:rPr>
          <w:color w:val="000000"/>
        </w:rPr>
      </w:pPr>
      <w:r>
        <w:rPr>
          <w:color w:val="000000"/>
        </w:rPr>
        <w:t>Where data are held for purposes of consent or contract (</w:t>
      </w:r>
      <w:r>
        <w:rPr>
          <w:color w:val="000000"/>
        </w:rPr>
        <w:fldChar w:fldCharType="begin"/>
      </w:r>
      <w:r>
        <w:rPr>
          <w:color w:val="000000"/>
        </w:rPr>
        <w:instrText xml:space="preserve"> REF _Ref504308234 \r \h </w:instrText>
      </w:r>
      <w:r>
        <w:rPr>
          <w:color w:val="000000"/>
        </w:rPr>
        <w:fldChar w:fldCharType="separate"/>
      </w:r>
      <w:r>
        <w:rPr>
          <w:color w:val="000000"/>
        </w:rPr>
        <w:t>4.1</w:t>
      </w:r>
      <w:r>
        <w:rPr>
          <w:color w:val="000000"/>
        </w:rPr>
        <w:fldChar w:fldCharType="end"/>
      </w:r>
      <w:r>
        <w:rPr>
          <w:color w:val="000000"/>
        </w:rPr>
        <w:t xml:space="preserve"> or </w:t>
      </w:r>
      <w:r>
        <w:rPr>
          <w:color w:val="000000"/>
        </w:rPr>
        <w:fldChar w:fldCharType="begin"/>
      </w:r>
      <w:r>
        <w:rPr>
          <w:color w:val="000000"/>
        </w:rPr>
        <w:instrText xml:space="preserve"> REF _Ref504308245 \r \h </w:instrText>
      </w:r>
      <w:r>
        <w:rPr>
          <w:color w:val="000000"/>
        </w:rPr>
        <w:fldChar w:fldCharType="separate"/>
      </w:r>
      <w:r>
        <w:rPr>
          <w:color w:val="000000"/>
        </w:rPr>
        <w:t>4.2</w:t>
      </w:r>
      <w:r>
        <w:rPr>
          <w:color w:val="000000"/>
        </w:rPr>
        <w:fldChar w:fldCharType="end"/>
      </w:r>
      <w:r>
        <w:rPr>
          <w:color w:val="000000"/>
        </w:rPr>
        <w:t>) the data subject shall have the right to require the controller to provide him/her with a copy in a structured, commonly used and machine-readable format of the data which he/she has provided to the controller, and have the right to transmit those data to another controller without hindrance.</w:t>
      </w:r>
    </w:p>
    <w:p>
      <w:pPr>
        <w:pStyle w:val="Heading2"/>
        <w:numPr>
          <w:ilvl w:val="1"/>
          <w:numId w:val="5"/>
        </w:numPr>
        <w:ind w:left="567" w:hanging="567"/>
        <w:rPr>
          <w:color w:val="000000"/>
        </w:rPr>
      </w:pPr>
      <w:bookmarkStart w:id="49" w:name="_Toc513035042"/>
      <w:bookmarkStart w:id="50" w:name="_Toc88221158"/>
      <w:r>
        <w:rPr>
          <w:color w:val="000000"/>
        </w:rPr>
        <w:t>The right to object</w:t>
      </w:r>
      <w:bookmarkEnd w:id="49"/>
      <w:bookmarkEnd w:id="50"/>
    </w:p>
    <w:p>
      <w:pPr>
        <w:pStyle w:val="Norm1"/>
        <w:spacing w:before="0" w:after="0"/>
        <w:ind w:left="567" w:hanging="0"/>
        <w:rPr>
          <w:color w:val="000000"/>
        </w:rPr>
      </w:pPr>
      <w:bookmarkStart w:id="51" w:name="_Ref504309475"/>
      <w:r>
        <w:rPr>
          <w:rFonts w:cs="Tahoma"/>
          <w:b/>
          <w:bCs/>
          <w:i/>
          <w:color w:val="000000"/>
          <w:szCs w:val="22"/>
        </w:rPr>
        <w:t>{Précised from Art:21}</w:t>
      </w:r>
    </w:p>
    <w:p>
      <w:pPr>
        <w:pStyle w:val="Norm1Num"/>
        <w:numPr>
          <w:ilvl w:val="8"/>
          <w:numId w:val="10"/>
        </w:numPr>
        <w:rPr/>
      </w:pPr>
      <w:r>
        <w:rPr>
          <w:color w:val="000000"/>
        </w:rPr>
        <w:t>The data subject shall have the right to object, on grounds relating to his or her particular situation, at any time to processing of personal data concerning him/her which is based Public Task or Legitimate Interest (</w:t>
      </w:r>
      <w:r>
        <w:rPr>
          <w:color w:val="000000"/>
        </w:rPr>
        <w:fldChar w:fldCharType="begin"/>
      </w:r>
      <w:r>
        <w:rPr>
          <w:color w:val="000000"/>
        </w:rPr>
        <w:instrText xml:space="preserve"> REF _Ref504309380 \r \h </w:instrText>
      </w:r>
      <w:r>
        <w:rPr>
          <w:color w:val="000000"/>
        </w:rPr>
        <w:fldChar w:fldCharType="separate"/>
      </w:r>
      <w:r>
        <w:rPr>
          <w:color w:val="000000"/>
        </w:rPr>
        <w:t>4.5</w:t>
      </w:r>
      <w:r>
        <w:rPr>
          <w:color w:val="000000"/>
        </w:rPr>
        <w:fldChar w:fldCharType="end"/>
      </w:r>
      <w:r>
        <w:rPr>
          <w:color w:val="000000"/>
        </w:rPr>
        <w:t xml:space="preserve"> or </w:t>
      </w:r>
      <w:r>
        <w:rPr>
          <w:color w:val="000000"/>
        </w:rPr>
        <w:fldChar w:fldCharType="begin"/>
      </w:r>
      <w:r>
        <w:rPr>
          <w:color w:val="000000"/>
        </w:rPr>
        <w:instrText xml:space="preserve"> REF _Ref504309386 \r \h </w:instrText>
      </w:r>
      <w:r>
        <w:rPr>
          <w:color w:val="000000"/>
        </w:rPr>
        <w:fldChar w:fldCharType="separate"/>
      </w:r>
      <w:r>
        <w:rPr>
          <w:color w:val="000000"/>
        </w:rPr>
        <w:t>4.6</w:t>
      </w:r>
      <w:r>
        <w:rPr>
          <w:color w:val="000000"/>
        </w:rPr>
        <w:fldChar w:fldCharType="end"/>
      </w:r>
      <w:r>
        <w:rPr>
          <w:color w:val="000000"/>
        </w:rPr>
        <w:t>), including profiling based on those provisions. The controller shall no longer process the personal data unless the controller demonstrates compelling legitimate grounds for the processing which override the interests, rights and freedoms of the data subject or for the establishment, exercise or defence of legal claims</w:t>
      </w:r>
      <w:bookmarkEnd w:id="51"/>
      <w:r>
        <w:rPr>
          <w:color w:val="000000"/>
        </w:rPr>
        <w:t>.</w:t>
      </w:r>
    </w:p>
    <w:p>
      <w:pPr>
        <w:pStyle w:val="Norm1Num"/>
        <w:numPr>
          <w:ilvl w:val="8"/>
          <w:numId w:val="10"/>
        </w:numPr>
        <w:rPr/>
      </w:pPr>
      <w:r>
        <w:rPr>
          <w:color w:val="000000"/>
        </w:rPr>
        <w:t>Where personal data are processed for direct marketing purposes, the data subject shall have the right to object at any time to processing of personal data concerning him/her for such marketing, which includes profiling to the extent that it is related to such direct marketing.</w:t>
      </w:r>
    </w:p>
    <w:p>
      <w:pPr>
        <w:pStyle w:val="Norm1Num"/>
        <w:numPr>
          <w:ilvl w:val="8"/>
          <w:numId w:val="10"/>
        </w:numPr>
        <w:rPr/>
      </w:pPr>
      <w:r>
        <w:rPr>
          <w:color w:val="000000"/>
        </w:rPr>
        <w:t>Where the data subject objects to processing for direct marketing purposes, the personal data shall no longer be processed for such purposes.</w:t>
      </w:r>
    </w:p>
    <w:p>
      <w:pPr>
        <w:pStyle w:val="Norm1Num"/>
        <w:numPr>
          <w:ilvl w:val="8"/>
          <w:numId w:val="10"/>
        </w:numPr>
        <w:rPr>
          <w:color w:val="000000"/>
        </w:rPr>
      </w:pPr>
      <w:bookmarkStart w:id="52" w:name="_Ref504309484"/>
      <w:r>
        <w:rPr>
          <w:color w:val="000000"/>
        </w:rPr>
        <w:t xml:space="preserve">At the latest at the time of the first communication with the data subject, the right referred to in paragraphs a) and </w:t>
      </w:r>
      <w:r>
        <w:rPr>
          <w:color w:val="000000"/>
        </w:rPr>
        <w:fldChar w:fldCharType="begin"/>
      </w:r>
      <w:r>
        <w:rPr>
          <w:color w:val="000000"/>
        </w:rPr>
        <w:instrText xml:space="preserve"> REF _Ref504309484 \r \h </w:instrText>
      </w:r>
      <w:r>
        <w:rPr>
          <w:color w:val="000000"/>
        </w:rPr>
        <w:fldChar w:fldCharType="separate"/>
      </w:r>
      <w:r>
        <w:rPr>
          <w:color w:val="000000"/>
        </w:rPr>
      </w:r>
      <w:r>
        <w:rPr>
          <w:color w:val="000000"/>
        </w:rPr>
        <w:fldChar w:fldCharType="end"/>
      </w:r>
      <w:r>
        <w:rPr>
          <w:color w:val="000000"/>
        </w:rPr>
        <w:t xml:space="preserve"> shall be explicitly brought to the attention of the data subject and shall be presented clearly and separately from any other information.</w:t>
      </w:r>
      <w:bookmarkEnd w:id="52"/>
    </w:p>
    <w:p>
      <w:pPr>
        <w:pStyle w:val="Heading2"/>
        <w:numPr>
          <w:ilvl w:val="1"/>
          <w:numId w:val="5"/>
        </w:numPr>
        <w:ind w:left="567" w:hanging="567"/>
        <w:rPr>
          <w:color w:val="000000"/>
        </w:rPr>
      </w:pPr>
      <w:bookmarkStart w:id="53" w:name="_Toc513035043"/>
      <w:bookmarkStart w:id="54" w:name="_Toc88221159"/>
      <w:r>
        <w:rPr>
          <w:color w:val="000000"/>
        </w:rPr>
        <w:t>Rights in relation to automated decision making and profiling</w:t>
      </w:r>
      <w:bookmarkEnd w:id="53"/>
      <w:bookmarkEnd w:id="54"/>
    </w:p>
    <w:p>
      <w:pPr>
        <w:pStyle w:val="Norm1"/>
        <w:spacing w:before="0" w:after="0"/>
        <w:ind w:left="567" w:hanging="0"/>
        <w:rPr>
          <w:color w:val="000000"/>
        </w:rPr>
      </w:pPr>
      <w:r>
        <w:rPr>
          <w:rFonts w:cs="Tahoma"/>
          <w:b/>
          <w:bCs/>
          <w:i/>
          <w:color w:val="000000"/>
          <w:szCs w:val="22"/>
        </w:rPr>
        <w:t>{Précised from Art:22}</w:t>
      </w:r>
    </w:p>
    <w:p>
      <w:pPr>
        <w:pStyle w:val="Norm1"/>
        <w:ind w:left="567" w:hanging="0"/>
        <w:rPr>
          <w:color w:val="000000"/>
        </w:rPr>
      </w:pPr>
      <w:r>
        <w:rPr>
          <w:color w:val="000000"/>
        </w:rPr>
        <w:t xml:space="preserve">Except where it is:  a) based on the data subject’s explicit consent,  </w:t>
      </w:r>
      <w:r>
        <w:rPr>
          <w:i/>
          <w:color w:val="000000"/>
        </w:rPr>
        <w:t>or  b)</w:t>
      </w:r>
      <w:r>
        <w:rPr>
          <w:color w:val="000000"/>
        </w:rPr>
        <w:t xml:space="preserve"> necessary for entering into, or performance of, a contract between the data subject and a data controller;  the data subject shall have the right not to be subject to a decision based solely on automated processing, including profiling, which produces legal effects concerning him/her or similarly significantly affects him/her.</w:t>
      </w:r>
    </w:p>
    <w:p>
      <w:pPr>
        <w:pStyle w:val="Norm1"/>
        <w:ind w:left="567" w:hanging="0"/>
        <w:rPr>
          <w:color w:val="000000"/>
        </w:rPr>
      </w:pPr>
      <w:r>
        <w:rPr>
          <w:color w:val="000000"/>
        </w:rPr>
      </w:r>
    </w:p>
    <w:p>
      <w:pPr>
        <w:pStyle w:val="Title"/>
        <w:rPr>
          <w:color w:val="000000"/>
        </w:rPr>
      </w:pPr>
      <w:r>
        <w:rPr>
          <w:color w:val="000000"/>
        </w:rPr>
        <w:t>Operational Policies and Procedures</w:t>
      </w:r>
    </w:p>
    <w:p>
      <w:pPr>
        <w:pStyle w:val="Heading1"/>
        <w:numPr>
          <w:ilvl w:val="0"/>
          <w:numId w:val="5"/>
        </w:numPr>
        <w:rPr>
          <w:color w:val="000000"/>
        </w:rPr>
      </w:pPr>
      <w:bookmarkStart w:id="55" w:name="_Toc513035016"/>
      <w:bookmarkStart w:id="56" w:name="_Toc513035044"/>
      <w:bookmarkStart w:id="57" w:name="_Toc88221160"/>
      <w:r>
        <w:rPr>
          <w:color w:val="000000"/>
        </w:rPr>
        <w:t>Operational Policies &amp; Procedures – The Context</w:t>
      </w:r>
      <w:bookmarkEnd w:id="55"/>
      <w:bookmarkEnd w:id="56"/>
      <w:bookmarkEnd w:id="57"/>
    </w:p>
    <w:p>
      <w:pPr>
        <w:pStyle w:val="Norm1"/>
        <w:ind w:left="567" w:hanging="0"/>
        <w:rPr>
          <w:color w:val="000000"/>
        </w:rPr>
      </w:pPr>
      <w:r>
        <w:rPr>
          <w:color w:val="000000"/>
        </w:rPr>
        <w:t>The BCRA is a small charity holding just a small amount of non-sensitive data on a small number of people.</w:t>
      </w:r>
    </w:p>
    <w:p>
      <w:pPr>
        <w:pStyle w:val="Norm1"/>
        <w:ind w:left="567" w:hanging="0"/>
        <w:rPr>
          <w:color w:val="000000"/>
        </w:rPr>
      </w:pPr>
      <w:r>
        <w:rPr>
          <w:color w:val="000000"/>
        </w:rPr>
        <w:t>The Trustees understand and accept their responsibility under the UK General Data Protection Regulation (UK-GDPR) to hold all personal data securely and use it only for legitimate purposes with the knowledge and approval of the data subjects.</w:t>
      </w:r>
    </w:p>
    <w:p>
      <w:pPr>
        <w:pStyle w:val="Norm1"/>
        <w:ind w:left="567" w:hanging="0"/>
        <w:rPr>
          <w:color w:val="000000"/>
        </w:rPr>
      </w:pPr>
      <w:r>
        <w:rPr>
          <w:color w:val="000000"/>
        </w:rPr>
        <w:t>By the following operational policies and procedures the Trustees undertake to uphold the principles and requirements of the UK-GDPR in a manner which is proportionate to the nature of the personal data being held by the Charity.   The policies are based on the Trustees’ assessment, in good faith, of the potential impacts on both the Charity and its data subjects of the personal data held by the Charity being stolen, abused, corrupted or lost.</w:t>
      </w:r>
    </w:p>
    <w:p>
      <w:pPr>
        <w:pStyle w:val="Heading1"/>
        <w:numPr>
          <w:ilvl w:val="0"/>
          <w:numId w:val="5"/>
        </w:numPr>
        <w:rPr>
          <w:color w:val="000000"/>
        </w:rPr>
      </w:pPr>
      <w:bookmarkStart w:id="58" w:name="_Toc513035017"/>
      <w:bookmarkStart w:id="59" w:name="_Toc513035045"/>
      <w:bookmarkStart w:id="60" w:name="_Toc88221161"/>
      <w:r>
        <w:rPr>
          <w:color w:val="000000"/>
        </w:rPr>
        <w:t>Personnel</w:t>
      </w:r>
      <w:bookmarkEnd w:id="58"/>
      <w:bookmarkEnd w:id="59"/>
      <w:bookmarkEnd w:id="60"/>
    </w:p>
    <w:p>
      <w:pPr>
        <w:pStyle w:val="Heading2"/>
        <w:numPr>
          <w:ilvl w:val="1"/>
          <w:numId w:val="5"/>
        </w:numPr>
        <w:ind w:left="567" w:hanging="567"/>
        <w:rPr>
          <w:color w:val="000000"/>
        </w:rPr>
      </w:pPr>
      <w:bookmarkStart w:id="61" w:name="_Toc513035046"/>
      <w:bookmarkStart w:id="62" w:name="_Toc88221162"/>
      <w:r>
        <w:rPr>
          <w:color w:val="000000"/>
        </w:rPr>
        <w:t>Data Protection Officer</w:t>
      </w:r>
      <w:bookmarkEnd w:id="61"/>
      <w:bookmarkEnd w:id="62"/>
    </w:p>
    <w:p>
      <w:pPr>
        <w:pStyle w:val="Norm1"/>
        <w:ind w:left="567" w:hanging="0"/>
        <w:rPr>
          <w:color w:val="000000"/>
        </w:rPr>
      </w:pPr>
      <w:r>
        <w:rPr>
          <w:color w:val="000000"/>
        </w:rPr>
        <w:t>In the considered opinion of the Trustees the scope and nature of the personal data held by the BCRA is not sufficient to warrant the appointment of a Data Protection Officer.</w:t>
      </w:r>
    </w:p>
    <w:p>
      <w:pPr>
        <w:pStyle w:val="Norm1"/>
        <w:ind w:left="567" w:hanging="0"/>
        <w:rPr>
          <w:color w:val="000000"/>
        </w:rPr>
      </w:pPr>
      <w:r>
        <w:rPr>
          <w:color w:val="000000"/>
        </w:rPr>
        <w:t>Accordingly, no Data Protection Officer is appointed.</w:t>
      </w:r>
    </w:p>
    <w:p>
      <w:pPr>
        <w:pStyle w:val="Heading2"/>
        <w:numPr>
          <w:ilvl w:val="1"/>
          <w:numId w:val="5"/>
        </w:numPr>
        <w:ind w:left="567" w:hanging="567"/>
        <w:rPr>
          <w:color w:val="000000"/>
        </w:rPr>
      </w:pPr>
      <w:bookmarkStart w:id="63" w:name="_Toc513035047"/>
      <w:bookmarkStart w:id="64" w:name="_Toc88221163"/>
      <w:r>
        <w:rPr>
          <w:color w:val="000000"/>
        </w:rPr>
        <w:t>Data Controller</w:t>
      </w:r>
      <w:bookmarkEnd w:id="63"/>
      <w:bookmarkEnd w:id="64"/>
    </w:p>
    <w:p>
      <w:pPr>
        <w:pStyle w:val="Norm1"/>
        <w:ind w:left="567" w:hanging="0"/>
        <w:rPr>
          <w:color w:val="000000"/>
        </w:rPr>
      </w:pPr>
      <w:r>
        <w:rPr>
          <w:color w:val="000000"/>
        </w:rPr>
        <w:t>The Board of Trustees is the Data Controller for the Charity.</w:t>
      </w:r>
    </w:p>
    <w:p>
      <w:pPr>
        <w:pStyle w:val="Heading2"/>
        <w:numPr>
          <w:ilvl w:val="1"/>
          <w:numId w:val="5"/>
        </w:numPr>
        <w:ind w:left="567" w:hanging="567"/>
        <w:rPr>
          <w:color w:val="000000"/>
        </w:rPr>
      </w:pPr>
      <w:bookmarkStart w:id="65" w:name="_Toc513035048"/>
      <w:bookmarkStart w:id="66" w:name="_Toc88221164"/>
      <w:r>
        <w:rPr>
          <w:color w:val="000000"/>
        </w:rPr>
        <w:t>Data Processor</w:t>
      </w:r>
      <w:bookmarkEnd w:id="65"/>
      <w:bookmarkEnd w:id="66"/>
    </w:p>
    <w:p>
      <w:pPr>
        <w:pStyle w:val="Norm1"/>
        <w:ind w:left="567" w:hanging="0"/>
        <w:rPr>
          <w:color w:val="000000"/>
        </w:rPr>
      </w:pPr>
      <w:r>
        <w:rPr>
          <w:color w:val="000000"/>
        </w:rPr>
        <w:t>The Board of Trustees will appoint at least 2 and not more than 5 of its number, or other appropriate persons, to be the Data Processors for the Charity.</w:t>
      </w:r>
    </w:p>
    <w:p>
      <w:pPr>
        <w:pStyle w:val="Norm1"/>
        <w:ind w:left="567" w:hanging="0"/>
        <w:rPr>
          <w:color w:val="000000"/>
        </w:rPr>
      </w:pPr>
      <w:r>
        <w:rPr>
          <w:color w:val="000000"/>
        </w:rPr>
        <w:t>The  BCRA will not knowingly outsource its data processing to any third party (</w:t>
      </w:r>
      <w:r>
        <w:rPr>
          <w:i/>
          <w:color w:val="000000"/>
        </w:rPr>
        <w:t xml:space="preserve">eg: </w:t>
      </w:r>
      <w:r>
        <w:rPr>
          <w:color w:val="000000"/>
        </w:rPr>
        <w:t>Google G-Suite, Microsoft OneDrive) except as provided for in the section “Third Party Access to Data”.</w:t>
      </w:r>
    </w:p>
    <w:p>
      <w:pPr>
        <w:pStyle w:val="Heading2"/>
        <w:numPr>
          <w:ilvl w:val="1"/>
          <w:numId w:val="5"/>
        </w:numPr>
        <w:ind w:left="567" w:hanging="567"/>
        <w:rPr>
          <w:color w:val="000000"/>
        </w:rPr>
      </w:pPr>
      <w:bookmarkStart w:id="67" w:name="_Toc513035049"/>
      <w:bookmarkStart w:id="68" w:name="_Toc88221165"/>
      <w:r>
        <w:rPr>
          <w:color w:val="000000"/>
        </w:rPr>
        <w:t>Access to Data</w:t>
      </w:r>
      <w:bookmarkEnd w:id="67"/>
      <w:bookmarkEnd w:id="68"/>
    </w:p>
    <w:p>
      <w:pPr>
        <w:pStyle w:val="Norm1"/>
        <w:ind w:left="567" w:hanging="0"/>
        <w:rPr>
          <w:color w:val="000000"/>
        </w:rPr>
      </w:pPr>
      <w:r>
        <w:rPr>
          <w:color w:val="000000"/>
        </w:rPr>
        <w:t>Except where necessary to pursue the legitimate purposes of the Charity, only the Data Processors shall have access to the personal data held by the Charity.</w:t>
      </w:r>
    </w:p>
    <w:p>
      <w:pPr>
        <w:pStyle w:val="Heading2"/>
        <w:numPr>
          <w:ilvl w:val="1"/>
          <w:numId w:val="5"/>
        </w:numPr>
        <w:ind w:left="567" w:hanging="567"/>
        <w:rPr>
          <w:color w:val="000000"/>
        </w:rPr>
      </w:pPr>
      <w:bookmarkStart w:id="69" w:name="_Toc513035050"/>
      <w:bookmarkStart w:id="70" w:name="_Toc88221166"/>
      <w:r>
        <w:rPr>
          <w:color w:val="000000"/>
        </w:rPr>
        <w:t>U</w:t>
      </w:r>
      <w:bookmarkEnd w:id="69"/>
      <w:bookmarkEnd w:id="70"/>
      <w:r>
        <w:rPr>
          <w:color w:val="000000"/>
        </w:rPr>
        <w:t xml:space="preserve">pdates </w:t>
      </w:r>
    </w:p>
    <w:p>
      <w:pPr>
        <w:pStyle w:val="Norm1"/>
        <w:ind w:left="567" w:hanging="0"/>
        <w:rPr>
          <w:color w:val="000000"/>
        </w:rPr>
      </w:pPr>
      <w:r>
        <w:rPr>
          <w:color w:val="000000"/>
        </w:rPr>
        <w:t>The Board of Trustees and Data Processors will periodically be updated through its meetings, on any udates that are  commensurate with the scale and nature of the personal data that the Charity holds and processes under the UK-GDPR.</w:t>
      </w:r>
    </w:p>
    <w:p>
      <w:pPr>
        <w:pStyle w:val="Heading1"/>
        <w:numPr>
          <w:ilvl w:val="0"/>
          <w:numId w:val="5"/>
        </w:numPr>
        <w:rPr>
          <w:color w:val="000000"/>
        </w:rPr>
      </w:pPr>
      <w:bookmarkStart w:id="71" w:name="_Toc513035018"/>
      <w:bookmarkStart w:id="72" w:name="_Toc513035051"/>
      <w:bookmarkStart w:id="73" w:name="_Toc88221167"/>
      <w:r>
        <w:rPr>
          <w:color w:val="000000"/>
        </w:rPr>
        <w:t>Collecting &amp; Processing Personal Data</w:t>
      </w:r>
      <w:bookmarkEnd w:id="71"/>
      <w:bookmarkEnd w:id="72"/>
      <w:bookmarkEnd w:id="73"/>
    </w:p>
    <w:p>
      <w:pPr>
        <w:pStyle w:val="Norm1"/>
        <w:ind w:left="567" w:hanging="0"/>
        <w:rPr>
          <w:color w:val="000000"/>
        </w:rPr>
      </w:pPr>
      <w:r>
        <w:rPr>
          <w:color w:val="000000"/>
        </w:rPr>
        <w:t>The BCRA collects a variety of personal data commensurate with the variety of purposes for which the data are required in the pursuit of its charitable objects.</w:t>
      </w:r>
    </w:p>
    <w:p>
      <w:pPr>
        <w:pStyle w:val="Norm1"/>
        <w:ind w:left="567" w:hanging="0"/>
        <w:rPr>
          <w:color w:val="000000"/>
        </w:rPr>
      </w:pPr>
      <w:r>
        <w:rPr>
          <w:color w:val="000000"/>
        </w:rPr>
        <w:t>All personal data will be collected, held and processed in accordance with the relevant Data Privacy Notice provided to data subjects as part of the process of collecting the data.</w:t>
      </w:r>
    </w:p>
    <w:p>
      <w:pPr>
        <w:pStyle w:val="Norm1"/>
        <w:ind w:left="567" w:hanging="0"/>
        <w:rPr>
          <w:color w:val="000000"/>
        </w:rPr>
      </w:pPr>
      <w:r>
        <w:rPr>
          <w:color w:val="000000"/>
        </w:rPr>
        <w:t>A Data Privacy Notice will be provided, or otherwise made accessible, to all persons on whom the Charity collects, holds and processes data covered by the UK-GDPR.   The Data Privacy Notice provided to data subjects will detail the nature of the data being collected, the purpose(s) for which the data are being collected and the subjects rights in relation to the Charity’s use of the data and other relevant information in compliance with the prevailing UK-GDPR requirements.</w:t>
      </w:r>
    </w:p>
    <w:p>
      <w:pPr>
        <w:pStyle w:val="Heading1"/>
        <w:numPr>
          <w:ilvl w:val="0"/>
          <w:numId w:val="5"/>
        </w:numPr>
        <w:rPr>
          <w:color w:val="000000"/>
        </w:rPr>
      </w:pPr>
      <w:bookmarkStart w:id="74" w:name="_Toc513035019"/>
      <w:bookmarkStart w:id="75" w:name="_Toc513035052"/>
      <w:bookmarkStart w:id="76" w:name="_Toc88221168"/>
      <w:r>
        <w:rPr>
          <w:color w:val="000000"/>
        </w:rPr>
        <w:t>Information Technology</w:t>
      </w:r>
      <w:bookmarkEnd w:id="74"/>
      <w:bookmarkEnd w:id="75"/>
      <w:bookmarkEnd w:id="76"/>
    </w:p>
    <w:p>
      <w:pPr>
        <w:pStyle w:val="Heading2"/>
        <w:numPr>
          <w:ilvl w:val="1"/>
          <w:numId w:val="5"/>
        </w:numPr>
        <w:ind w:left="567" w:hanging="567"/>
        <w:rPr>
          <w:color w:val="000000"/>
        </w:rPr>
      </w:pPr>
      <w:bookmarkStart w:id="77" w:name="_Toc513035053"/>
      <w:bookmarkStart w:id="78" w:name="_Toc88221169"/>
      <w:r>
        <w:rPr>
          <w:color w:val="000000"/>
        </w:rPr>
        <w:t>Data Protection by Design/Default</w:t>
      </w:r>
      <w:bookmarkEnd w:id="77"/>
      <w:bookmarkEnd w:id="78"/>
    </w:p>
    <w:p>
      <w:pPr>
        <w:pStyle w:val="Norm1"/>
        <w:ind w:left="567" w:hanging="0"/>
        <w:rPr>
          <w:color w:val="000000"/>
        </w:rPr>
      </w:pPr>
      <w:r>
        <w:rPr>
          <w:color w:val="000000"/>
        </w:rPr>
        <w:t>Inasmuch as:</w:t>
      </w:r>
    </w:p>
    <w:p>
      <w:pPr>
        <w:pStyle w:val="Norm1Num"/>
        <w:numPr>
          <w:ilvl w:val="8"/>
          <w:numId w:val="11"/>
        </w:numPr>
        <w:rPr/>
      </w:pPr>
      <w:r>
        <w:rPr>
          <w:color w:val="000000"/>
        </w:rPr>
        <w:t>none of the BCRA’s volunteer Trustees are data protection professionals;</w:t>
      </w:r>
    </w:p>
    <w:p>
      <w:pPr>
        <w:pStyle w:val="Norm1Num"/>
        <w:numPr>
          <w:ilvl w:val="8"/>
          <w:numId w:val="11"/>
        </w:numPr>
        <w:rPr/>
      </w:pPr>
      <w:r>
        <w:rPr>
          <w:color w:val="000000"/>
        </w:rPr>
        <w:t>it would be a disproportionate use of charitable funds to employ a data protection professional, given the scale and nature of the personal data held by the Charity;</w:t>
      </w:r>
    </w:p>
    <w:p>
      <w:pPr>
        <w:pStyle w:val="Norm1"/>
        <w:numPr>
          <w:ilvl w:val="0"/>
          <w:numId w:val="11"/>
        </w:numPr>
        <w:rPr/>
      </w:pPr>
      <w:r>
        <w:rPr>
          <w:color w:val="000000"/>
        </w:rPr>
        <w:t>the Trustees will seek appropriate professional advice commensurate with its data protection requirement whenever:</w:t>
      </w:r>
    </w:p>
    <w:p>
      <w:pPr>
        <w:pStyle w:val="Norm1Num"/>
        <w:numPr>
          <w:ilvl w:val="8"/>
          <w:numId w:val="11"/>
        </w:numPr>
        <w:rPr/>
      </w:pPr>
      <w:r>
        <w:rPr>
          <w:color w:val="000000"/>
        </w:rPr>
        <w:t>they are planning to make significant changes to the ways in which they process personal data;</w:t>
      </w:r>
    </w:p>
    <w:p>
      <w:pPr>
        <w:pStyle w:val="Norm1Num"/>
        <w:numPr>
          <w:ilvl w:val="8"/>
          <w:numId w:val="11"/>
        </w:numPr>
        <w:rPr/>
      </w:pPr>
      <w:r>
        <w:rPr>
          <w:color w:val="000000"/>
        </w:rPr>
        <w:t>there is any national publicity about new risks (</w:t>
      </w:r>
      <w:r>
        <w:rPr>
          <w:i/>
          <w:color w:val="000000"/>
        </w:rPr>
        <w:t xml:space="preserve">eg: </w:t>
      </w:r>
      <w:r>
        <w:rPr>
          <w:color w:val="000000"/>
        </w:rPr>
        <w:t>cyber attacks);</w:t>
      </w:r>
    </w:p>
    <w:p>
      <w:pPr>
        <w:pStyle w:val="Norm1Num"/>
        <w:numPr>
          <w:ilvl w:val="8"/>
          <w:numId w:val="11"/>
        </w:numPr>
        <w:rPr/>
      </w:pPr>
      <w:r>
        <w:rPr>
          <w:color w:val="000000"/>
        </w:rPr>
        <w:t>any material changes to the UK-GDPR are proposed or have been made;</w:t>
      </w:r>
    </w:p>
    <w:p>
      <w:pPr>
        <w:pStyle w:val="Norm1"/>
        <w:numPr>
          <w:ilvl w:val="0"/>
          <w:numId w:val="11"/>
        </w:numPr>
        <w:rPr/>
      </w:pPr>
      <w:r>
        <w:rPr>
          <w:color w:val="000000"/>
        </w:rPr>
        <w:t>which might adversely compromise the Charity’s legitimate processing of personal data covered by the UK-GDPR.</w:t>
      </w:r>
    </w:p>
    <w:p>
      <w:pPr>
        <w:pStyle w:val="Norm1"/>
        <w:numPr>
          <w:ilvl w:val="0"/>
          <w:numId w:val="11"/>
        </w:numPr>
        <w:rPr>
          <w:color w:val="000000"/>
        </w:rPr>
      </w:pPr>
      <w:r>
        <w:rPr>
          <w:color w:val="000000"/>
        </w:rPr>
        <w:t>Personal data will never be transmitted electronically (</w:t>
      </w:r>
      <w:r>
        <w:rPr>
          <w:i/>
          <w:color w:val="000000"/>
        </w:rPr>
        <w:t>eg:</w:t>
      </w:r>
      <w:r>
        <w:rPr>
          <w:color w:val="000000"/>
        </w:rPr>
        <w:t xml:space="preserve"> by e-mail) unless securely encrypted.</w:t>
      </w:r>
    </w:p>
    <w:p>
      <w:pPr>
        <w:pStyle w:val="Heading2"/>
        <w:numPr>
          <w:ilvl w:val="1"/>
          <w:numId w:val="5"/>
        </w:numPr>
        <w:ind w:left="567" w:hanging="567"/>
        <w:rPr>
          <w:color w:val="000000"/>
        </w:rPr>
      </w:pPr>
      <w:bookmarkStart w:id="79" w:name="_Toc513035054"/>
      <w:bookmarkStart w:id="80" w:name="_Toc88221170"/>
      <w:r>
        <w:rPr>
          <w:color w:val="000000"/>
        </w:rPr>
        <w:t>Data Processing Equipment</w:t>
      </w:r>
      <w:bookmarkEnd w:id="79"/>
      <w:bookmarkEnd w:id="80"/>
    </w:p>
    <w:p>
      <w:pPr>
        <w:pStyle w:val="Norm1"/>
        <w:ind w:left="567" w:hanging="0"/>
        <w:rPr>
          <w:color w:val="000000"/>
        </w:rPr>
      </w:pPr>
      <w:r>
        <w:rPr>
          <w:color w:val="000000"/>
        </w:rPr>
        <w:t>The scale and nature of the personal data held by the BCRA is not sufficient to justify the BCRA purchasing dedicated computers for the processing of personal data.</w:t>
      </w:r>
    </w:p>
    <w:p>
      <w:pPr>
        <w:pStyle w:val="Norm1"/>
        <w:ind w:left="567" w:hanging="0"/>
        <w:rPr>
          <w:color w:val="000000"/>
        </w:rPr>
      </w:pPr>
      <w:r>
        <w:rPr>
          <w:color w:val="000000"/>
        </w:rPr>
        <w:t>Whilst the data will be processed on the computers/laptops to which the Data Processors have access, no personal data covered by the UK-GDPR will be stored on those computers/laptops.   All interim working data transferred to such computers/laptops for processing will be deleted once processing has been completed.</w:t>
      </w:r>
    </w:p>
    <w:p>
      <w:pPr>
        <w:pStyle w:val="Norm1"/>
        <w:ind w:left="567" w:hanging="0"/>
        <w:rPr>
          <w:color w:val="000000"/>
        </w:rPr>
      </w:pPr>
      <w:r>
        <w:rPr>
          <w:color w:val="000000"/>
        </w:rPr>
        <w:t>When not in use the removable storage devices will be kept in a secure location and reasonably protected against accidental damage, loss, avoidable theft or other misuse by persons other than the Data Processors.</w:t>
      </w:r>
    </w:p>
    <w:p>
      <w:pPr>
        <w:pStyle w:val="Norm1"/>
        <w:ind w:left="567" w:hanging="0"/>
        <w:rPr>
          <w:color w:val="000000"/>
        </w:rPr>
      </w:pPr>
      <w:r>
        <w:rPr>
          <w:color w:val="000000"/>
        </w:rPr>
        <w:t>The Data Controller &amp; Data Processors will keep a register of</w:t>
      </w:r>
    </w:p>
    <w:p>
      <w:pPr>
        <w:pStyle w:val="Norm1Num"/>
        <w:numPr>
          <w:ilvl w:val="8"/>
          <w:numId w:val="12"/>
        </w:numPr>
        <w:rPr/>
      </w:pPr>
      <w:r>
        <w:rPr>
          <w:color w:val="000000"/>
        </w:rPr>
        <w:t>the location of all removable devices used for the storage and processing of personal data;</w:t>
      </w:r>
    </w:p>
    <w:p>
      <w:pPr>
        <w:pStyle w:val="Norm1Num"/>
        <w:numPr>
          <w:ilvl w:val="8"/>
          <w:numId w:val="12"/>
        </w:numPr>
        <w:rPr>
          <w:color w:val="000000"/>
        </w:rPr>
      </w:pPr>
      <w:r>
        <w:rPr>
          <w:color w:val="000000"/>
        </w:rPr>
        <w:t>each occasion when the data on each device were accessed or modified and by whom.</w:t>
      </w:r>
    </w:p>
    <w:p>
      <w:pPr>
        <w:pStyle w:val="Norm1"/>
        <w:ind w:left="567" w:hanging="0"/>
        <w:rPr>
          <w:color w:val="000000"/>
        </w:rPr>
      </w:pPr>
      <w:r>
        <w:rPr>
          <w:color w:val="000000"/>
        </w:rPr>
        <w:t>The Charity’s removable storage devices shall not be used for the storage of any data which are unrelated to the Charity’s processing of personal data.</w:t>
      </w:r>
    </w:p>
    <w:p>
      <w:pPr>
        <w:pStyle w:val="Heading2"/>
        <w:numPr>
          <w:ilvl w:val="1"/>
          <w:numId w:val="5"/>
        </w:numPr>
        <w:ind w:left="567" w:hanging="567"/>
        <w:rPr>
          <w:color w:val="000000"/>
        </w:rPr>
      </w:pPr>
      <w:bookmarkStart w:id="81" w:name="_Toc513035055"/>
      <w:bookmarkStart w:id="82" w:name="_Toc88221171"/>
      <w:r>
        <w:rPr>
          <w:color w:val="000000"/>
        </w:rPr>
        <w:t>Data Processing Location</w:t>
      </w:r>
      <w:bookmarkEnd w:id="81"/>
      <w:bookmarkEnd w:id="82"/>
    </w:p>
    <w:p>
      <w:pPr>
        <w:pStyle w:val="Norm1"/>
        <w:ind w:left="567" w:hanging="0"/>
        <w:rPr>
          <w:color w:val="000000"/>
        </w:rPr>
      </w:pPr>
      <w:r>
        <w:rPr>
          <w:color w:val="000000"/>
        </w:rPr>
        <w:t xml:space="preserve">Data Processors shall only process the Charity’s personal data in a secure location, and not in any public place, </w:t>
      </w:r>
      <w:r>
        <w:rPr>
          <w:i/>
          <w:color w:val="000000"/>
        </w:rPr>
        <w:t>eg:</w:t>
      </w:r>
      <w:r>
        <w:rPr>
          <w:color w:val="000000"/>
        </w:rPr>
        <w:t> locations whether the data could be overlooked by others, or the removable data storage devices would be susceptible to loss or theft.</w:t>
      </w:r>
    </w:p>
    <w:p>
      <w:pPr>
        <w:pStyle w:val="Norm1"/>
        <w:ind w:left="567" w:hanging="0"/>
        <w:rPr>
          <w:color w:val="000000"/>
        </w:rPr>
      </w:pPr>
      <w:r>
        <w:rPr>
          <w:color w:val="000000"/>
        </w:rPr>
        <w:t>Computers/laptops in use for data processing will not be left unattended at any time.</w:t>
      </w:r>
    </w:p>
    <w:p>
      <w:pPr>
        <w:pStyle w:val="Heading2"/>
        <w:numPr>
          <w:ilvl w:val="1"/>
          <w:numId w:val="5"/>
        </w:numPr>
        <w:ind w:left="567" w:hanging="567"/>
        <w:rPr>
          <w:color w:val="000000"/>
        </w:rPr>
      </w:pPr>
      <w:bookmarkStart w:id="83" w:name="_Toc513035056"/>
      <w:bookmarkStart w:id="84" w:name="_Toc88221172"/>
      <w:r>
        <w:rPr>
          <w:color w:val="000000"/>
        </w:rPr>
        <w:t>Data Backups</w:t>
      </w:r>
      <w:bookmarkEnd w:id="83"/>
      <w:bookmarkEnd w:id="84"/>
    </w:p>
    <w:p>
      <w:pPr>
        <w:pStyle w:val="Norm1"/>
        <w:ind w:left="567" w:hanging="0"/>
        <w:rPr>
          <w:color w:val="000000"/>
        </w:rPr>
      </w:pPr>
      <w:r>
        <w:rPr>
          <w:color w:val="000000"/>
        </w:rPr>
        <w:t>To protect against loss of data by accidental corruption of the data or malfunction of a removable data storage device (including by physical damage), all the Charity’s personal data shall be backed up periodically and whenever any significant changes (additions, amendments, deletions) are made to the data.</w:t>
      </w:r>
    </w:p>
    <w:p>
      <w:pPr>
        <w:pStyle w:val="Norm1"/>
        <w:ind w:left="567" w:hanging="0"/>
        <w:rPr>
          <w:color w:val="000000"/>
        </w:rPr>
      </w:pPr>
      <w:r>
        <w:rPr>
          <w:color w:val="000000"/>
        </w:rPr>
        <w:t>Backup copies of the data shall be held in separate secure locations which are not susceptible to common risks (</w:t>
      </w:r>
      <w:r>
        <w:rPr>
          <w:i/>
          <w:color w:val="000000"/>
        </w:rPr>
        <w:t>eg:</w:t>
      </w:r>
      <w:r>
        <w:rPr>
          <w:color w:val="000000"/>
        </w:rPr>
        <w:t> fire, flood, theft).</w:t>
      </w:r>
    </w:p>
    <w:p>
      <w:pPr>
        <w:pStyle w:val="Norm1"/>
        <w:ind w:left="567" w:hanging="0"/>
        <w:rPr>
          <w:color w:val="000000"/>
        </w:rPr>
      </w:pPr>
      <w:r>
        <w:rPr>
          <w:color w:val="000000"/>
        </w:rPr>
        <w:t>As far as is reasonably practical, all files containing personal data covered by the UK-GDPR will be encrypted by the use of NCH-Meo, Kaspersky Vault or other comparable software.</w:t>
        <w:br/>
        <w:t>The encryption keys will be held securely in a location which is separate from the data storage media.</w:t>
      </w:r>
    </w:p>
    <w:p>
      <w:pPr>
        <w:pStyle w:val="Heading2"/>
        <w:numPr>
          <w:ilvl w:val="1"/>
          <w:numId w:val="5"/>
        </w:numPr>
        <w:ind w:left="567" w:hanging="567"/>
        <w:rPr>
          <w:color w:val="000000"/>
        </w:rPr>
      </w:pPr>
      <w:bookmarkStart w:id="85" w:name="_Toc513035057"/>
      <w:bookmarkStart w:id="86" w:name="_Toc88221173"/>
      <w:r>
        <w:rPr>
          <w:color w:val="000000"/>
        </w:rPr>
        <w:t>Obsolete or Dysfunctional Equipment</w:t>
      </w:r>
      <w:bookmarkEnd w:id="85"/>
      <w:bookmarkEnd w:id="86"/>
    </w:p>
    <w:p>
      <w:pPr>
        <w:pStyle w:val="Norm1"/>
        <w:spacing w:before="0" w:after="0"/>
        <w:ind w:left="567" w:hanging="0"/>
        <w:rPr>
          <w:color w:val="000000"/>
        </w:rPr>
      </w:pPr>
      <w:r>
        <w:rPr>
          <w:rFonts w:cs="Tahoma"/>
          <w:b/>
          <w:bCs/>
          <w:i/>
          <w:iCs/>
          <w:color w:val="000000"/>
          <w:sz w:val="28"/>
          <w:szCs w:val="28"/>
        </w:rPr>
        <w:t>(Disposal of Removable Storage Media)</w:t>
      </w:r>
    </w:p>
    <w:p>
      <w:pPr>
        <w:pStyle w:val="Norm1"/>
        <w:ind w:left="567" w:hanging="0"/>
        <w:rPr>
          <w:color w:val="000000"/>
        </w:rPr>
      </w:pPr>
      <w:r>
        <w:rPr>
          <w:color w:val="000000"/>
        </w:rPr>
        <w:t>Equipment used to hold personal data, whether permanently or as interim working copies, which come to the end of their useful working life, or become dysfunctional, shall be disposed of in a manner which ensures that any residual personal data held on the equipment cannot be recovered by unauthorised persons.</w:t>
      </w:r>
    </w:p>
    <w:p>
      <w:pPr>
        <w:pStyle w:val="Norm1"/>
        <w:ind w:left="567" w:hanging="0"/>
        <w:rPr>
          <w:color w:val="000000"/>
        </w:rPr>
      </w:pPr>
      <w:r>
        <w:rPr>
          <w:color w:val="000000"/>
        </w:rPr>
        <w:t>Inasmuch as:</w:t>
      </w:r>
    </w:p>
    <w:p>
      <w:pPr>
        <w:pStyle w:val="Norm1Num"/>
        <w:numPr>
          <w:ilvl w:val="8"/>
          <w:numId w:val="13"/>
        </w:numPr>
        <w:rPr/>
      </w:pPr>
      <w:r>
        <w:rPr>
          <w:color w:val="000000"/>
        </w:rPr>
        <w:t>this will be a relatively infrequent occurrence;</w:t>
      </w:r>
    </w:p>
    <w:p>
      <w:pPr>
        <w:pStyle w:val="Norm1Num"/>
        <w:numPr>
          <w:ilvl w:val="8"/>
          <w:numId w:val="13"/>
        </w:numPr>
        <w:rPr/>
      </w:pPr>
      <w:r>
        <w:rPr>
          <w:color w:val="000000"/>
        </w:rPr>
        <w:t>techniques for data recovery and destruction are constantly evolving;</w:t>
      </w:r>
    </w:p>
    <w:p>
      <w:pPr>
        <w:pStyle w:val="Norm1Num"/>
        <w:numPr>
          <w:ilvl w:val="8"/>
          <w:numId w:val="13"/>
        </w:numPr>
        <w:rPr>
          <w:color w:val="000000"/>
        </w:rPr>
      </w:pPr>
      <w:r>
        <w:rPr>
          <w:color w:val="000000"/>
        </w:rPr>
        <w:t>none of the Trustees have relevant up-to-date expert knowledge of data cleansing;</w:t>
      </w:r>
    </w:p>
    <w:p>
      <w:pPr>
        <w:pStyle w:val="Norm1"/>
        <w:ind w:left="567" w:hanging="0"/>
        <w:rPr>
          <w:color w:val="000000"/>
        </w:rPr>
      </w:pPr>
      <w:r>
        <w:rPr>
          <w:color w:val="000000"/>
        </w:rPr>
        <w:t>equipment which becomes obsolete or dysfunctional shall not be disposed immediately.   Instead it will be stored securely while up-to-date expert advice on the most appropriate methods for its data cleansing and disposal can be sought and implemented.</w:t>
      </w:r>
    </w:p>
    <w:p>
      <w:pPr>
        <w:pStyle w:val="Heading1"/>
        <w:numPr>
          <w:ilvl w:val="0"/>
          <w:numId w:val="5"/>
        </w:numPr>
        <w:rPr>
          <w:color w:val="000000"/>
        </w:rPr>
      </w:pPr>
      <w:bookmarkStart w:id="87" w:name="_Toc513035020"/>
      <w:bookmarkStart w:id="88" w:name="_Toc513035058"/>
      <w:bookmarkStart w:id="89" w:name="_Toc88221174"/>
      <w:r>
        <w:rPr>
          <w:color w:val="000000"/>
        </w:rPr>
        <w:t>Data Subjects</w:t>
      </w:r>
      <w:bookmarkEnd w:id="87"/>
      <w:bookmarkEnd w:id="88"/>
      <w:bookmarkEnd w:id="89"/>
    </w:p>
    <w:p>
      <w:pPr>
        <w:pStyle w:val="Heading2"/>
        <w:numPr>
          <w:ilvl w:val="1"/>
          <w:numId w:val="5"/>
        </w:numPr>
        <w:ind w:left="709" w:hanging="709"/>
        <w:rPr>
          <w:color w:val="000000"/>
        </w:rPr>
      </w:pPr>
      <w:bookmarkStart w:id="90" w:name="_Toc513035059"/>
      <w:bookmarkStart w:id="91" w:name="_Toc88221175"/>
      <w:r>
        <w:rPr>
          <w:color w:val="000000"/>
        </w:rPr>
        <w:t>The Rights of Data Subjects</w:t>
      </w:r>
      <w:bookmarkEnd w:id="90"/>
      <w:bookmarkEnd w:id="91"/>
    </w:p>
    <w:p>
      <w:pPr>
        <w:pStyle w:val="Norm1"/>
        <w:ind w:left="567" w:hanging="0"/>
        <w:rPr>
          <w:color w:val="000000"/>
        </w:rPr>
      </w:pPr>
      <w:r>
        <w:rPr>
          <w:color w:val="000000"/>
        </w:rPr>
        <w:t>In compliance with the UK-GDPR the Charity will give data subjects the following rights.</w:t>
        <w:br/>
        <w:t>These rights will be made clear in the relevant Data Privacy Notice provided to data subjects:</w:t>
      </w:r>
    </w:p>
    <w:p>
      <w:pPr>
        <w:pStyle w:val="TickList"/>
        <w:numPr>
          <w:ilvl w:val="0"/>
          <w:numId w:val="1"/>
        </w:numPr>
        <w:tabs>
          <w:tab w:val="clear" w:pos="567"/>
          <w:tab w:val="left" w:pos="4395" w:leader="none"/>
        </w:tabs>
        <w:ind w:left="993" w:hanging="425"/>
        <w:rPr>
          <w:color w:val="000000"/>
        </w:rPr>
      </w:pPr>
      <w:r>
        <w:rPr>
          <w:color w:val="000000"/>
        </w:rPr>
        <w:t>the right to be informed;</w:t>
      </w:r>
    </w:p>
    <w:p>
      <w:pPr>
        <w:pStyle w:val="TickList"/>
        <w:numPr>
          <w:ilvl w:val="0"/>
          <w:numId w:val="1"/>
        </w:numPr>
        <w:tabs>
          <w:tab w:val="clear" w:pos="567"/>
          <w:tab w:val="left" w:pos="4395" w:leader="none"/>
        </w:tabs>
        <w:ind w:left="993" w:hanging="425"/>
        <w:rPr>
          <w:color w:val="000000"/>
        </w:rPr>
      </w:pPr>
      <w:r>
        <w:rPr>
          <w:color w:val="000000"/>
        </w:rPr>
        <w:t>the right of access;</w:t>
      </w:r>
    </w:p>
    <w:p>
      <w:pPr>
        <w:pStyle w:val="TickList"/>
        <w:numPr>
          <w:ilvl w:val="0"/>
          <w:numId w:val="1"/>
        </w:numPr>
        <w:tabs>
          <w:tab w:val="clear" w:pos="567"/>
          <w:tab w:val="left" w:pos="4395" w:leader="none"/>
        </w:tabs>
        <w:ind w:left="993" w:hanging="425"/>
        <w:rPr>
          <w:color w:val="000000"/>
        </w:rPr>
      </w:pPr>
      <w:r>
        <w:rPr>
          <w:color w:val="000000"/>
        </w:rPr>
        <w:t>the right to rectification;</w:t>
      </w:r>
    </w:p>
    <w:p>
      <w:pPr>
        <w:pStyle w:val="TickList"/>
        <w:numPr>
          <w:ilvl w:val="0"/>
          <w:numId w:val="1"/>
        </w:numPr>
        <w:tabs>
          <w:tab w:val="clear" w:pos="567"/>
          <w:tab w:val="left" w:pos="4395" w:leader="none"/>
        </w:tabs>
        <w:ind w:left="993" w:hanging="425"/>
        <w:rPr>
          <w:color w:val="000000"/>
        </w:rPr>
      </w:pPr>
      <w:r>
        <w:rPr>
          <w:color w:val="000000"/>
        </w:rPr>
        <w:t>the right of erasure</w:t>
        <w:tab/>
      </w:r>
      <w:r>
        <w:rPr>
          <w:i/>
          <w:color w:val="000000"/>
        </w:rPr>
        <w:t xml:space="preserve">{LO}                 </w:t>
      </w:r>
      <w:r>
        <w:rPr>
          <w:i/>
          <w:color w:val="000000"/>
          <w:sz w:val="20"/>
          <w:szCs w:val="20"/>
        </w:rPr>
        <w:t xml:space="preserve"> Also referred to as “The right to be forgotten”</w:t>
      </w:r>
    </w:p>
    <w:p>
      <w:pPr>
        <w:pStyle w:val="TickList"/>
        <w:numPr>
          <w:ilvl w:val="0"/>
          <w:numId w:val="1"/>
        </w:numPr>
        <w:tabs>
          <w:tab w:val="clear" w:pos="567"/>
          <w:tab w:val="left" w:pos="4395" w:leader="none"/>
        </w:tabs>
        <w:ind w:left="993" w:hanging="425"/>
        <w:rPr>
          <w:color w:val="000000"/>
        </w:rPr>
      </w:pPr>
      <w:r>
        <w:rPr>
          <w:color w:val="000000"/>
        </w:rPr>
        <w:t>the right to restrict processing;</w:t>
      </w:r>
    </w:p>
    <w:p>
      <w:pPr>
        <w:pStyle w:val="TickList"/>
        <w:numPr>
          <w:ilvl w:val="0"/>
          <w:numId w:val="1"/>
        </w:numPr>
        <w:tabs>
          <w:tab w:val="clear" w:pos="567"/>
          <w:tab w:val="left" w:pos="4395" w:leader="none"/>
        </w:tabs>
        <w:ind w:left="993" w:hanging="425"/>
        <w:rPr>
          <w:color w:val="000000"/>
        </w:rPr>
      </w:pPr>
      <w:r>
        <w:rPr>
          <w:color w:val="000000"/>
        </w:rPr>
        <w:t>the right to data portability;</w:t>
        <w:tab/>
      </w:r>
      <w:r>
        <w:rPr>
          <w:i/>
          <w:color w:val="000000"/>
        </w:rPr>
        <w:t>{LO}   {LI}</w:t>
      </w:r>
    </w:p>
    <w:p>
      <w:pPr>
        <w:pStyle w:val="TickList"/>
        <w:numPr>
          <w:ilvl w:val="0"/>
          <w:numId w:val="1"/>
        </w:numPr>
        <w:tabs>
          <w:tab w:val="clear" w:pos="567"/>
          <w:tab w:val="left" w:pos="4395" w:leader="none"/>
        </w:tabs>
        <w:ind w:left="993" w:hanging="425"/>
        <w:rPr>
          <w:color w:val="000000"/>
        </w:rPr>
      </w:pPr>
      <w:r>
        <w:rPr>
          <w:color w:val="000000"/>
        </w:rPr>
        <w:t>the right to object;</w:t>
        <w:tab/>
      </w:r>
      <w:r>
        <w:rPr>
          <w:i/>
          <w:color w:val="000000"/>
        </w:rPr>
        <w:t>{SC}   {Co}   {LO}</w:t>
      </w:r>
    </w:p>
    <w:p>
      <w:pPr>
        <w:pStyle w:val="TickList"/>
        <w:numPr>
          <w:ilvl w:val="0"/>
          <w:numId w:val="1"/>
        </w:numPr>
        <w:tabs>
          <w:tab w:val="clear" w:pos="567"/>
          <w:tab w:val="left" w:pos="4395" w:leader="none"/>
        </w:tabs>
        <w:ind w:left="993" w:hanging="425"/>
        <w:rPr>
          <w:color w:val="000000"/>
        </w:rPr>
      </w:pPr>
      <w:r>
        <w:rPr>
          <w:color w:val="000000"/>
        </w:rPr>
        <w:t>the right not to be subjected to automated decision making, including profiling.</w:t>
      </w:r>
    </w:p>
    <w:p>
      <w:pPr>
        <w:pStyle w:val="Norm1"/>
        <w:tabs>
          <w:tab w:val="clear" w:pos="567"/>
          <w:tab w:val="left" w:pos="4678" w:leader="none"/>
          <w:tab w:val="left" w:pos="7230" w:leader="none"/>
        </w:tabs>
        <w:ind w:left="567" w:hanging="0"/>
        <w:rPr>
          <w:color w:val="000000"/>
        </w:rPr>
      </w:pPr>
      <w:r>
        <w:rPr>
          <w:color w:val="000000"/>
        </w:rPr>
        <w:t>The above rights are not available to data subjects when the legal basis on which the Charity is holding &amp; processing their data are:</w:t>
        <w:tab/>
      </w:r>
      <w:r>
        <w:rPr>
          <w:i/>
          <w:color w:val="000000"/>
        </w:rPr>
        <w:t xml:space="preserve">{SC} </w:t>
      </w:r>
      <w:r>
        <w:rPr>
          <w:color w:val="000000"/>
        </w:rPr>
        <w:t>Subject Consent;</w:t>
        <w:tab/>
      </w:r>
      <w:r>
        <w:rPr>
          <w:i/>
          <w:color w:val="000000"/>
        </w:rPr>
        <w:t>{Co}</w:t>
      </w:r>
      <w:r>
        <w:rPr>
          <w:color w:val="000000"/>
        </w:rPr>
        <w:t xml:space="preserve"> Contractual obligation</w:t>
        <w:tab/>
      </w:r>
      <w:r>
        <w:rPr>
          <w:i/>
          <w:color w:val="000000"/>
        </w:rPr>
        <w:t>{LO}</w:t>
      </w:r>
      <w:r>
        <w:rPr>
          <w:color w:val="000000"/>
        </w:rPr>
        <w:t xml:space="preserve"> Legal Obligation</w:t>
        <w:tab/>
      </w:r>
      <w:r>
        <w:rPr>
          <w:i/>
          <w:color w:val="000000"/>
        </w:rPr>
        <w:t>{LI}</w:t>
      </w:r>
      <w:r>
        <w:rPr>
          <w:color w:val="000000"/>
        </w:rPr>
        <w:t xml:space="preserve">   Legitimate Interest</w:t>
      </w:r>
    </w:p>
    <w:p>
      <w:pPr>
        <w:pStyle w:val="Heading2"/>
        <w:numPr>
          <w:ilvl w:val="1"/>
          <w:numId w:val="5"/>
        </w:numPr>
        <w:ind w:left="709" w:hanging="709"/>
        <w:rPr>
          <w:color w:val="000000"/>
        </w:rPr>
      </w:pPr>
      <w:bookmarkStart w:id="92" w:name="_Toc513035060"/>
      <w:bookmarkStart w:id="93" w:name="_Toc88221176"/>
      <w:r>
        <w:rPr>
          <w:color w:val="000000"/>
        </w:rPr>
        <w:t>Rights of Access, Rectification and Erasure</w:t>
      </w:r>
      <w:bookmarkEnd w:id="92"/>
      <w:bookmarkEnd w:id="93"/>
    </w:p>
    <w:p>
      <w:pPr>
        <w:pStyle w:val="Norm1"/>
        <w:ind w:left="567" w:hanging="0"/>
        <w:rPr>
          <w:color w:val="000000"/>
        </w:rPr>
      </w:pPr>
      <w:r>
        <w:rPr>
          <w:color w:val="000000"/>
        </w:rPr>
        <w:t>Data subjects will be clearly informed of their right to access their personal data and to request that any errors or omissions be corrected promptly.</w:t>
      </w:r>
    </w:p>
    <w:p>
      <w:pPr>
        <w:pStyle w:val="Norm1"/>
        <w:ind w:left="567" w:hanging="0"/>
        <w:rPr>
          <w:color w:val="000000"/>
        </w:rPr>
      </w:pPr>
      <w:r>
        <w:rPr>
          <w:color w:val="000000"/>
        </w:rPr>
        <w:t>Such access shall be given and the correction of errors or omissions shall be made free of charge provided that such requests are reasonable and not trivial or vexatious.</w:t>
        <w:br/>
        <w:t>There is no prescribed format for making such requests provided that:</w:t>
      </w:r>
    </w:p>
    <w:p>
      <w:pPr>
        <w:pStyle w:val="Norm1Num"/>
        <w:numPr>
          <w:ilvl w:val="8"/>
          <w:numId w:val="14"/>
        </w:numPr>
        <w:rPr/>
      </w:pPr>
      <w:r>
        <w:rPr>
          <w:color w:val="000000"/>
        </w:rPr>
        <w:t>the request is made in writing, signed &amp; dated by the data subject (or their legal representative);</w:t>
      </w:r>
    </w:p>
    <w:p>
      <w:pPr>
        <w:pStyle w:val="Norm1Num"/>
        <w:numPr>
          <w:ilvl w:val="8"/>
          <w:numId w:val="14"/>
        </w:numPr>
        <w:rPr/>
      </w:pPr>
      <w:r>
        <w:rPr>
          <w:color w:val="000000"/>
        </w:rPr>
        <w:t>the data claimed to be in error or missing are clearly and unambiguously identified;</w:t>
      </w:r>
    </w:p>
    <w:p>
      <w:pPr>
        <w:pStyle w:val="Norm1Num"/>
        <w:numPr>
          <w:ilvl w:val="8"/>
          <w:numId w:val="14"/>
        </w:numPr>
        <w:rPr>
          <w:color w:val="000000"/>
        </w:rPr>
      </w:pPr>
      <w:r>
        <w:rPr>
          <w:color w:val="000000"/>
        </w:rPr>
        <w:t>the corrected or added data are clear and declared by the subject to be complete and accurate.</w:t>
      </w:r>
    </w:p>
    <w:p>
      <w:pPr>
        <w:pStyle w:val="Norm1"/>
        <w:ind w:left="567" w:hanging="0"/>
        <w:rPr>
          <w:color w:val="000000"/>
        </w:rPr>
      </w:pPr>
      <w:r>
        <w:rPr>
          <w:color w:val="000000"/>
        </w:rPr>
        <w:t>It will be explained to subjects who make a request to access their data and/or to have errors or omissions corrected, or that their data be erased, that, while their requests will be actioned as soon as is practical there may be delays where the appropriate volunteers or staff to deal with the request do not work on every normal weekday.</w:t>
      </w:r>
    </w:p>
    <w:p>
      <w:pPr>
        <w:pStyle w:val="Norm1"/>
        <w:ind w:left="567" w:hanging="0"/>
        <w:rPr>
          <w:color w:val="000000"/>
        </w:rPr>
      </w:pPr>
      <w:r>
        <w:rPr>
          <w:color w:val="000000"/>
        </w:rPr>
        <w:t>Where a data subject requests that their data be rectified or erased the Data Controller and Data Processor will ensure that the rectifications or erasure will be applied to all copies of the subject’s personal data including those copies which are in the hands of a Third Party for authorised data processing.</w:t>
      </w:r>
    </w:p>
    <w:p>
      <w:pPr>
        <w:pStyle w:val="Heading2"/>
        <w:numPr>
          <w:ilvl w:val="1"/>
          <w:numId w:val="5"/>
        </w:numPr>
        <w:ind w:left="709" w:hanging="709"/>
        <w:rPr>
          <w:color w:val="000000"/>
        </w:rPr>
      </w:pPr>
      <w:bookmarkStart w:id="94" w:name="_Toc513035061"/>
      <w:bookmarkStart w:id="95" w:name="_Toc88221177"/>
      <w:r>
        <w:rPr>
          <w:color w:val="000000"/>
        </w:rPr>
        <w:t>Right of Portability</w:t>
      </w:r>
      <w:bookmarkEnd w:id="94"/>
      <w:bookmarkEnd w:id="95"/>
    </w:p>
    <w:p>
      <w:pPr>
        <w:pStyle w:val="Norm1"/>
        <w:ind w:left="567" w:hanging="0"/>
        <w:rPr>
          <w:color w:val="000000"/>
        </w:rPr>
      </w:pPr>
      <w:r>
        <w:rPr>
          <w:color w:val="000000"/>
        </w:rPr>
        <w:t>The Charity will only provide copies of personal data to the subject (or the subject’s legal representative) on written request.</w:t>
      </w:r>
    </w:p>
    <w:p>
      <w:pPr>
        <w:pStyle w:val="Norm1"/>
        <w:ind w:left="567" w:hanging="0"/>
        <w:rPr>
          <w:color w:val="000000"/>
        </w:rPr>
      </w:pPr>
      <w:r>
        <w:rPr>
          <w:color w:val="000000"/>
        </w:rPr>
        <w:t>The Charity reserves the right either:</w:t>
      </w:r>
    </w:p>
    <w:p>
      <w:pPr>
        <w:pStyle w:val="Norm1Num"/>
        <w:numPr>
          <w:ilvl w:val="8"/>
          <w:numId w:val="15"/>
        </w:numPr>
        <w:rPr/>
      </w:pPr>
      <w:r>
        <w:rPr>
          <w:color w:val="000000"/>
        </w:rPr>
        <w:t>to decline requests for portable copies of the subject’s personal data when such requests are unreasonable (</w:t>
      </w:r>
      <w:r>
        <w:rPr>
          <w:i/>
          <w:iCs/>
          <w:color w:val="000000"/>
        </w:rPr>
        <w:t>ie:</w:t>
      </w:r>
      <w:r>
        <w:rPr>
          <w:color w:val="000000"/>
        </w:rPr>
        <w:t xml:space="preserve"> excessively frequent) or vexatious;</w:t>
        <w:br/>
        <w:t xml:space="preserve">   </w:t>
      </w:r>
      <w:r>
        <w:rPr>
          <w:i/>
          <w:color w:val="000000"/>
        </w:rPr>
        <w:t>or</w:t>
      </w:r>
    </w:p>
    <w:p>
      <w:pPr>
        <w:pStyle w:val="Norm1Num"/>
        <w:numPr>
          <w:ilvl w:val="8"/>
          <w:numId w:val="15"/>
        </w:numPr>
        <w:rPr>
          <w:color w:val="000000"/>
        </w:rPr>
      </w:pPr>
      <w:r>
        <w:rPr>
          <w:color w:val="000000"/>
        </w:rPr>
        <w:t>to make a reasonable charge for providing the copy.</w:t>
      </w:r>
    </w:p>
    <w:p>
      <w:pPr>
        <w:pStyle w:val="Heading2"/>
        <w:numPr>
          <w:ilvl w:val="1"/>
          <w:numId w:val="5"/>
        </w:numPr>
        <w:ind w:left="709" w:hanging="709"/>
        <w:rPr>
          <w:color w:val="000000"/>
        </w:rPr>
      </w:pPr>
      <w:bookmarkStart w:id="96" w:name="_Toc513035062"/>
      <w:bookmarkStart w:id="97" w:name="_Toc88221178"/>
      <w:r>
        <w:rPr>
          <w:color w:val="000000"/>
        </w:rPr>
        <w:t>Data Retention Policy</w:t>
      </w:r>
      <w:bookmarkEnd w:id="96"/>
      <w:bookmarkEnd w:id="97"/>
    </w:p>
    <w:p>
      <w:pPr>
        <w:pStyle w:val="Norm1"/>
        <w:ind w:left="567" w:hanging="0"/>
        <w:rPr>
          <w:color w:val="000000"/>
        </w:rPr>
      </w:pPr>
      <w:r>
        <w:rPr>
          <w:color w:val="000000"/>
        </w:rPr>
        <w:t>Personal data shall not be retained for longer than:</w:t>
      </w:r>
    </w:p>
    <w:p>
      <w:pPr>
        <w:pStyle w:val="Norm1Num"/>
        <w:numPr>
          <w:ilvl w:val="8"/>
          <w:numId w:val="5"/>
        </w:numPr>
        <w:rPr/>
      </w:pPr>
      <w:r>
        <w:rPr>
          <w:color w:val="000000"/>
        </w:rPr>
        <w:t>In the case of data held by subject consent:</w:t>
        <w:br/>
        <w:t>the period for which the subject consented to the Charity holding their data;</w:t>
      </w:r>
    </w:p>
    <w:p>
      <w:pPr>
        <w:pStyle w:val="Norm1Num"/>
        <w:numPr>
          <w:ilvl w:val="8"/>
          <w:numId w:val="5"/>
        </w:numPr>
        <w:rPr/>
      </w:pPr>
      <w:r>
        <w:rPr>
          <w:color w:val="000000"/>
        </w:rPr>
        <w:t>in the case of data held by legitimate interest of the charity:</w:t>
        <w:br/>
        <w:t>the period for which that legitimate interest applies.   For example: in the case of data subjects who held a role, such as a volunteer, with the Charity the retention period is that for which the Charity reasonably has a legitimate interest in being able to identify that individual’s role in the event of any retrospective query about it;</w:t>
      </w:r>
    </w:p>
    <w:p>
      <w:pPr>
        <w:pStyle w:val="Norm1Num"/>
        <w:numPr>
          <w:ilvl w:val="8"/>
          <w:numId w:val="5"/>
        </w:numPr>
        <w:rPr>
          <w:color w:val="000000"/>
        </w:rPr>
      </w:pPr>
      <w:r>
        <w:rPr>
          <w:color w:val="000000"/>
        </w:rPr>
        <w:t>in the case of data held by legal obligation:</w:t>
        <w:br/>
        <w:t>the period for which the Charity is legally obliged to retain those data.</w:t>
      </w:r>
    </w:p>
    <w:p>
      <w:pPr>
        <w:pStyle w:val="Norm1"/>
        <w:ind w:left="567" w:hanging="0"/>
        <w:rPr>
          <w:color w:val="000000"/>
        </w:rPr>
      </w:pPr>
      <w:r>
        <w:rPr>
          <w:color w:val="000000"/>
        </w:rPr>
        <w:t>The Charity shall regularly – not less than every 6 months – review the personal data which it holds and remove any data where retention is no longer justified.   Such removal shall be made as soon as is reasonably practical, and in any case no longer than 20 working days (of the relevant Data Processor) after retention of the data was identified as no longer justified.</w:t>
      </w:r>
    </w:p>
    <w:p>
      <w:pPr>
        <w:pStyle w:val="Heading1"/>
        <w:numPr>
          <w:ilvl w:val="0"/>
          <w:numId w:val="5"/>
        </w:numPr>
        <w:rPr>
          <w:color w:val="000000"/>
        </w:rPr>
      </w:pPr>
      <w:bookmarkStart w:id="98" w:name="_Toc513035021"/>
      <w:bookmarkStart w:id="99" w:name="_Toc513035063"/>
      <w:bookmarkStart w:id="100" w:name="_Toc88221179"/>
      <w:r>
        <w:rPr>
          <w:color w:val="000000"/>
        </w:rPr>
        <w:t>Privacy Impact Assessment</w:t>
      </w:r>
      <w:bookmarkEnd w:id="98"/>
      <w:bookmarkEnd w:id="99"/>
      <w:bookmarkEnd w:id="100"/>
    </w:p>
    <w:p>
      <w:pPr>
        <w:pStyle w:val="Heading2"/>
        <w:numPr>
          <w:ilvl w:val="1"/>
          <w:numId w:val="5"/>
        </w:numPr>
        <w:ind w:left="709" w:hanging="709"/>
        <w:rPr>
          <w:color w:val="000000"/>
        </w:rPr>
      </w:pPr>
      <w:bookmarkStart w:id="101" w:name="_Toc513035064"/>
      <w:bookmarkStart w:id="102" w:name="_Toc88221180"/>
      <w:r>
        <w:rPr>
          <w:color w:val="000000"/>
        </w:rPr>
        <w:t>Trustees’ Data</w:t>
      </w:r>
      <w:bookmarkEnd w:id="101"/>
      <w:bookmarkEnd w:id="102"/>
    </w:p>
    <w:p>
      <w:pPr>
        <w:pStyle w:val="Norm1"/>
        <w:ind w:left="567" w:hanging="0"/>
        <w:rPr>
          <w:color w:val="000000"/>
        </w:rPr>
      </w:pPr>
      <w:r>
        <w:rPr>
          <w:color w:val="000000"/>
        </w:rPr>
        <w:t>The volume of personal data is very low – less than 15 individuals</w:t>
        <w:br/>
        <w:t>The sensitivity of the data is low-moderate:   the most sensitive data being date of birth, previous names and previous addresses;</w:t>
        <w:br/>
        <w:t>The risk of data breach is small as the data are rarely used, with the majority of the data being held for a combination of legal obligation and legitimate interest.</w:t>
      </w:r>
    </w:p>
    <w:p>
      <w:pPr>
        <w:pStyle w:val="Norm1"/>
        <w:ind w:left="567" w:hanging="0"/>
        <w:rPr>
          <w:color w:val="000000"/>
        </w:rPr>
      </w:pPr>
      <w:r>
        <w:rPr>
          <w:b/>
          <w:color w:val="000000"/>
        </w:rPr>
        <w:t>Overall impact:   LOW</w:t>
      </w:r>
    </w:p>
    <w:p>
      <w:pPr>
        <w:pStyle w:val="Heading2"/>
        <w:numPr>
          <w:ilvl w:val="1"/>
          <w:numId w:val="5"/>
        </w:numPr>
        <w:ind w:left="709" w:hanging="709"/>
        <w:rPr>
          <w:color w:val="000000"/>
        </w:rPr>
      </w:pPr>
      <w:bookmarkStart w:id="103" w:name="_Toc513035065"/>
      <w:bookmarkStart w:id="104" w:name="_Toc88221181"/>
      <w:r>
        <w:rPr>
          <w:color w:val="000000"/>
        </w:rPr>
        <w:t>Volunteers’/Members’ Data</w:t>
      </w:r>
      <w:bookmarkEnd w:id="103"/>
      <w:bookmarkEnd w:id="104"/>
    </w:p>
    <w:p>
      <w:pPr>
        <w:pStyle w:val="Norm1"/>
        <w:ind w:left="567" w:hanging="0"/>
        <w:rPr>
          <w:color w:val="000000"/>
        </w:rPr>
      </w:pPr>
      <w:r>
        <w:rPr>
          <w:color w:val="000000"/>
        </w:rPr>
        <w:t>The volume of personal data is low – less than 100 individuals</w:t>
        <w:br/>
        <w:t>The sensitivity of the data is low:   the most sensitive data being an e-mail address;</w:t>
        <w:br/>
        <w:t>The risk of data breach is small – primarily the accidental disclosure of names &amp; e-mail addresses.</w:t>
      </w:r>
    </w:p>
    <w:p>
      <w:pPr>
        <w:pStyle w:val="Norm1"/>
        <w:ind w:left="567" w:hanging="0"/>
        <w:rPr>
          <w:color w:val="000000"/>
        </w:rPr>
      </w:pPr>
      <w:r>
        <w:rPr>
          <w:b/>
          <w:color w:val="000000"/>
        </w:rPr>
        <w:t>Overall impact:   LOW</w:t>
      </w:r>
    </w:p>
    <w:p>
      <w:pPr>
        <w:pStyle w:val="Heading2"/>
        <w:numPr>
          <w:ilvl w:val="1"/>
          <w:numId w:val="5"/>
        </w:numPr>
        <w:ind w:left="709" w:hanging="709"/>
        <w:rPr>
          <w:color w:val="000000"/>
        </w:rPr>
      </w:pPr>
      <w:bookmarkStart w:id="105" w:name="_Toc513035066"/>
      <w:bookmarkStart w:id="106" w:name="_Toc88221182"/>
      <w:r>
        <w:rPr>
          <w:color w:val="000000"/>
        </w:rPr>
        <w:t>Supporters’ &amp; Enquirers’ Data</w:t>
      </w:r>
      <w:bookmarkEnd w:id="105"/>
      <w:bookmarkEnd w:id="106"/>
    </w:p>
    <w:p>
      <w:pPr>
        <w:pStyle w:val="Norm1"/>
        <w:ind w:left="567" w:hanging="0"/>
        <w:rPr>
          <w:color w:val="000000"/>
        </w:rPr>
      </w:pPr>
      <w:r>
        <w:rPr>
          <w:color w:val="000000"/>
        </w:rPr>
        <w:t>The volume of personal data is low-moderate.</w:t>
      </w:r>
    </w:p>
    <w:p>
      <w:pPr>
        <w:pStyle w:val="Norm1"/>
        <w:ind w:left="567" w:hanging="0"/>
        <w:rPr>
          <w:color w:val="000000"/>
        </w:rPr>
      </w:pPr>
      <w:r>
        <w:rPr>
          <w:color w:val="000000"/>
        </w:rPr>
        <w:t>The sensitivity of the data is low:   the most sensitive data being an e-mail address;</w:t>
        <w:br/>
        <w:t>The risk of data breach is small – primarily the accidental disclosure of names &amp; e-mail addresses.</w:t>
      </w:r>
    </w:p>
    <w:p>
      <w:pPr>
        <w:pStyle w:val="Norm1"/>
        <w:ind w:left="567" w:hanging="0"/>
        <w:rPr>
          <w:color w:val="000000"/>
        </w:rPr>
      </w:pPr>
      <w:r>
        <w:rPr>
          <w:b/>
          <w:color w:val="000000"/>
        </w:rPr>
        <w:t>Overall impact:   LOW</w:t>
      </w:r>
    </w:p>
    <w:p>
      <w:pPr>
        <w:pStyle w:val="Heading1"/>
        <w:numPr>
          <w:ilvl w:val="0"/>
          <w:numId w:val="5"/>
        </w:numPr>
        <w:rPr>
          <w:color w:val="000000"/>
        </w:rPr>
      </w:pPr>
      <w:bookmarkStart w:id="107" w:name="_Toc513035022"/>
      <w:bookmarkStart w:id="108" w:name="_Toc513035067"/>
      <w:bookmarkStart w:id="109" w:name="_Toc88221183"/>
      <w:r>
        <w:rPr>
          <w:color w:val="000000"/>
        </w:rPr>
        <w:t>Third Party Access to Data</w:t>
      </w:r>
      <w:bookmarkEnd w:id="107"/>
      <w:bookmarkEnd w:id="108"/>
      <w:bookmarkEnd w:id="109"/>
    </w:p>
    <w:p>
      <w:pPr>
        <w:pStyle w:val="Norm1"/>
        <w:ind w:left="567" w:hanging="0"/>
        <w:rPr>
          <w:color w:val="000000"/>
        </w:rPr>
      </w:pPr>
      <w:r>
        <w:rPr>
          <w:color w:val="000000"/>
        </w:rPr>
        <w:t>Under no circumstance will the Charity share with, sell or otherwise make available to Third Parties any personal data except where it is necessary and unavoidable to do so in pursuit of its charitable objects as authorised by the Data Controller.</w:t>
      </w:r>
    </w:p>
    <w:p>
      <w:pPr>
        <w:pStyle w:val="Norm1"/>
        <w:ind w:left="567" w:hanging="0"/>
        <w:rPr>
          <w:color w:val="000000"/>
        </w:rPr>
      </w:pPr>
      <w:r>
        <w:rPr>
          <w:color w:val="000000"/>
        </w:rPr>
        <w:t>Whenever possible, data subjects will be informed in advance of the necessity to share their personal data with a Third Party in pursuit of the Charity’s objects.</w:t>
      </w:r>
    </w:p>
    <w:p>
      <w:pPr>
        <w:pStyle w:val="Norm1"/>
        <w:ind w:left="567" w:hanging="0"/>
        <w:rPr>
          <w:color w:val="000000"/>
        </w:rPr>
      </w:pPr>
      <w:r>
        <w:rPr>
          <w:color w:val="000000"/>
        </w:rPr>
        <w:t>Before sharing personal data with a Third Party the Charity will take all reasonable steps to verify that the Third Party is, itself, compliant with the provisions of the UK-GDPR and confirmed in a written contract.   The contract will specify that:</w:t>
      </w:r>
    </w:p>
    <w:p>
      <w:pPr>
        <w:pStyle w:val="TickList"/>
        <w:numPr>
          <w:ilvl w:val="0"/>
          <w:numId w:val="1"/>
        </w:numPr>
        <w:ind w:left="993" w:hanging="425"/>
        <w:rPr>
          <w:color w:val="000000"/>
        </w:rPr>
      </w:pPr>
      <w:r>
        <w:rPr>
          <w:color w:val="000000"/>
        </w:rPr>
        <w:t>The Charity is the owner of the data;</w:t>
      </w:r>
    </w:p>
    <w:p>
      <w:pPr>
        <w:pStyle w:val="TickList"/>
        <w:numPr>
          <w:ilvl w:val="0"/>
          <w:numId w:val="1"/>
        </w:numPr>
        <w:ind w:left="993" w:hanging="425"/>
        <w:rPr>
          <w:color w:val="000000"/>
        </w:rPr>
      </w:pPr>
      <w:r>
        <w:rPr>
          <w:color w:val="000000"/>
        </w:rPr>
        <w:t>The Third Party will hold and process all data shared with it exclusively as specified by the instructions of the Data Controller;</w:t>
      </w:r>
    </w:p>
    <w:p>
      <w:pPr>
        <w:pStyle w:val="TickList"/>
        <w:numPr>
          <w:ilvl w:val="0"/>
          <w:numId w:val="1"/>
        </w:numPr>
        <w:ind w:left="993" w:hanging="425"/>
        <w:rPr>
          <w:color w:val="000000"/>
        </w:rPr>
      </w:pPr>
      <w:r>
        <w:rPr>
          <w:color w:val="000000"/>
        </w:rPr>
        <w:t>The Third Party will not use the data for its own purposes;</w:t>
      </w:r>
    </w:p>
    <w:p>
      <w:pPr>
        <w:pStyle w:val="TickList"/>
        <w:numPr>
          <w:ilvl w:val="0"/>
          <w:numId w:val="1"/>
        </w:numPr>
        <w:ind w:left="993" w:hanging="425"/>
        <w:rPr>
          <w:color w:val="000000"/>
        </w:rPr>
      </w:pPr>
      <w:r>
        <w:rPr>
          <w:color w:val="000000"/>
        </w:rPr>
        <w:t>The Third Party will adopt prevailing industry standard best practice to ensure that the data are held securely and protected from theft, corruption or loss;</w:t>
      </w:r>
    </w:p>
    <w:p>
      <w:pPr>
        <w:pStyle w:val="TickList"/>
        <w:numPr>
          <w:ilvl w:val="0"/>
          <w:numId w:val="1"/>
        </w:numPr>
        <w:ind w:left="993" w:hanging="425"/>
        <w:rPr>
          <w:color w:val="000000"/>
        </w:rPr>
      </w:pPr>
      <w:r>
        <w:rPr>
          <w:color w:val="000000"/>
        </w:rPr>
        <w:t>The Third Party will be responsible for the consequences of any theft, breach, corruption or loss of the Charity’s data (including any fines or other penalties imposed by the Information Commissioner’s Office) unless such theft, breach, corruption or loss was a direct and unavoidable consequence of the Third Party complying with the data processing instructions of the Data Controller</w:t>
      </w:r>
    </w:p>
    <w:p>
      <w:pPr>
        <w:pStyle w:val="TickList"/>
        <w:numPr>
          <w:ilvl w:val="0"/>
          <w:numId w:val="1"/>
        </w:numPr>
        <w:ind w:left="993" w:hanging="425"/>
        <w:rPr>
          <w:color w:val="000000"/>
        </w:rPr>
      </w:pPr>
      <w:r>
        <w:rPr>
          <w:color w:val="000000"/>
        </w:rPr>
        <w:t>The Third Party will not share the data, or the results of any analysis or other processing of the data with any other party without the explicit written permission of the Data Controller;</w:t>
      </w:r>
    </w:p>
    <w:p>
      <w:pPr>
        <w:pStyle w:val="TickList"/>
        <w:numPr>
          <w:ilvl w:val="0"/>
          <w:numId w:val="1"/>
        </w:numPr>
        <w:ind w:left="993" w:hanging="425"/>
        <w:rPr>
          <w:color w:val="000000"/>
        </w:rPr>
      </w:pPr>
      <w:r>
        <w:rPr>
          <w:color w:val="000000"/>
        </w:rPr>
        <w:t>The Third Party will securely delete all data that it holds on behalf of the Charity once the purpose of processing the data has been accomplished.</w:t>
      </w:r>
    </w:p>
    <w:p>
      <w:pPr>
        <w:pStyle w:val="TickList"/>
        <w:numPr>
          <w:ilvl w:val="0"/>
          <w:numId w:val="1"/>
        </w:numPr>
        <w:ind w:left="993" w:hanging="425"/>
        <w:rPr>
          <w:color w:val="000000"/>
        </w:rPr>
      </w:pPr>
      <w:r>
        <w:rPr>
          <w:color w:val="000000"/>
        </w:rPr>
        <w:t>The Charity does not, and will not, transfer personal data out of the UK.</w:t>
      </w:r>
    </w:p>
    <w:p>
      <w:pPr>
        <w:pStyle w:val="Heading1"/>
        <w:numPr>
          <w:ilvl w:val="0"/>
          <w:numId w:val="5"/>
        </w:numPr>
        <w:rPr>
          <w:color w:val="000000"/>
        </w:rPr>
      </w:pPr>
      <w:bookmarkStart w:id="110" w:name="_Toc513035023"/>
      <w:bookmarkStart w:id="111" w:name="_Toc513035068"/>
      <w:bookmarkStart w:id="112" w:name="_Toc88221184"/>
      <w:r>
        <w:rPr>
          <w:color w:val="000000"/>
        </w:rPr>
        <w:t>Data Breach</w:t>
      </w:r>
      <w:bookmarkEnd w:id="110"/>
      <w:bookmarkEnd w:id="111"/>
      <w:bookmarkEnd w:id="112"/>
    </w:p>
    <w:p>
      <w:pPr>
        <w:pStyle w:val="Norm1"/>
        <w:ind w:left="567" w:hanging="0"/>
        <w:rPr>
          <w:color w:val="000000"/>
        </w:rPr>
      </w:pPr>
      <w:r>
        <w:rPr>
          <w:color w:val="000000"/>
        </w:rPr>
        <w:t>In the event of any data breach coming to the attention of the Data Controller the Trustees will immediately notify the Information Commission’s Office.</w:t>
      </w:r>
    </w:p>
    <w:p>
      <w:pPr>
        <w:pStyle w:val="Norm1"/>
        <w:ind w:left="567" w:hanging="0"/>
        <w:rPr>
          <w:color w:val="000000"/>
        </w:rPr>
      </w:pPr>
      <w:r>
        <w:rPr>
          <w:color w:val="000000"/>
        </w:rPr>
        <w:t>In the event that full details of the nature and consequences of the data breach are not immediately accessible (</w:t>
      </w:r>
      <w:r>
        <w:rPr>
          <w:i/>
          <w:color w:val="000000"/>
        </w:rPr>
        <w:t>eg: </w:t>
      </w:r>
      <w:r>
        <w:rPr>
          <w:color w:val="000000"/>
        </w:rPr>
        <w:t>because Data Processors do not work on every normal weekday) the Trustees will bring that to the attention of the Information Commissioner’s Office and undertake to forward the relevant information as soon as it becomes available.</w:t>
      </w:r>
    </w:p>
    <w:p>
      <w:pPr>
        <w:pStyle w:val="Heading1"/>
        <w:numPr>
          <w:ilvl w:val="0"/>
          <w:numId w:val="5"/>
        </w:numPr>
        <w:rPr>
          <w:color w:val="000000"/>
        </w:rPr>
      </w:pPr>
      <w:bookmarkStart w:id="113" w:name="_Toc513035024"/>
      <w:bookmarkStart w:id="114" w:name="_Toc513035069"/>
      <w:bookmarkStart w:id="115" w:name="_Toc88221185"/>
      <w:r>
        <w:rPr>
          <w:color w:val="000000"/>
        </w:rPr>
        <w:t>Privacy Policy &amp; Privacy Notices</w:t>
      </w:r>
      <w:bookmarkEnd w:id="113"/>
      <w:bookmarkEnd w:id="114"/>
      <w:bookmarkEnd w:id="115"/>
    </w:p>
    <w:p>
      <w:pPr>
        <w:pStyle w:val="Norm1"/>
        <w:ind w:left="567" w:hanging="0"/>
        <w:rPr>
          <w:color w:val="000000"/>
        </w:rPr>
      </w:pPr>
      <w:r>
        <w:rPr>
          <w:color w:val="000000"/>
        </w:rPr>
        <w:t xml:space="preserve">The Charity will have a Privacy Policy and appropriate Privacy Notices which it will make available to everyone on whom it holds and processes personal data, in accordance with </w:t>
      </w:r>
      <w:r>
        <w:rPr>
          <w:color w:val="000000"/>
        </w:rPr>
        <w:fldChar w:fldCharType="begin"/>
      </w:r>
      <w:r>
        <w:rPr>
          <w:color w:val="000000"/>
        </w:rPr>
        <w:instrText xml:space="preserve"> REF _Ref504322460 \r \h </w:instrText>
      </w:r>
      <w:r>
        <w:rPr>
          <w:color w:val="000000"/>
        </w:rPr>
        <w:fldChar w:fldCharType="separate"/>
      </w:r>
      <w:r>
        <w:rPr>
          <w:color w:val="000000"/>
        </w:rPr>
        <w:t>5.1</w:t>
      </w:r>
      <w:r>
        <w:rPr>
          <w:color w:val="000000"/>
        </w:rPr>
        <w:fldChar w:fldCharType="end"/>
      </w:r>
      <w:r>
        <w:rPr>
          <w:color w:val="000000"/>
        </w:rPr>
        <w:t>.</w:t>
      </w:r>
    </w:p>
    <w:p>
      <w:pPr>
        <w:pStyle w:val="Norm1"/>
        <w:ind w:left="567" w:hanging="0"/>
        <w:rPr>
          <w:color w:val="000000"/>
        </w:rPr>
      </w:pPr>
      <w:r>
        <w:rPr>
          <w:color w:val="000000"/>
        </w:rPr>
        <w:t>In the case of data obtained directly from the data subject, the Privacy Notice will be provided at the time the data are obtained.</w:t>
      </w:r>
    </w:p>
    <w:p>
      <w:pPr>
        <w:pStyle w:val="Norm1"/>
        <w:ind w:left="567" w:hanging="0"/>
        <w:rPr>
          <w:color w:val="000000"/>
        </w:rPr>
      </w:pPr>
      <w:r>
        <w:rPr>
          <w:color w:val="000000"/>
        </w:rPr>
        <w:t>In the case that the data are not obtained directly from the data subject, the Privacy Notice will be provided within a reasonable period of the Charity having obtained the data (within one month),</w:t>
      </w:r>
      <w:r>
        <w:rPr>
          <w:i/>
          <w:color w:val="000000"/>
        </w:rPr>
        <w:t xml:space="preserve"> </w:t>
      </w:r>
      <w:r>
        <w:rPr>
          <w:b/>
          <w:i/>
          <w:color w:val="000000"/>
        </w:rPr>
        <w:t>or</w:t>
      </w:r>
      <w:r>
        <w:rPr>
          <w:i/>
          <w:color w:val="000000"/>
        </w:rPr>
        <w:t>,</w:t>
      </w:r>
      <w:r>
        <w:rPr>
          <w:color w:val="000000"/>
        </w:rPr>
        <w:br/>
        <w:t>if the data are used to communicate with the data subject, at the latest, when the first communication takes place</w:t>
      </w:r>
      <w:r>
        <w:rPr>
          <w:i/>
          <w:color w:val="000000"/>
        </w:rPr>
        <w:t xml:space="preserve">; </w:t>
      </w:r>
      <w:r>
        <w:rPr>
          <w:b/>
          <w:i/>
          <w:color w:val="000000"/>
        </w:rPr>
        <w:t>or</w:t>
      </w:r>
      <w:r>
        <w:rPr>
          <w:color w:val="000000"/>
        </w:rPr>
        <w:br/>
        <w:t>if disclosure to another recipient is envisaged, at the latest, before the data are disclosed.</w:t>
      </w:r>
    </w:p>
    <w:p>
      <w:pPr>
        <w:pStyle w:val="Norm1"/>
        <w:ind w:left="567" w:hanging="0"/>
        <w:rPr>
          <w:color w:val="000000"/>
        </w:rPr>
      </w:pPr>
      <w:r>
        <w:rPr>
          <w:color w:val="000000"/>
        </w:rPr>
      </w:r>
    </w:p>
    <w:p>
      <w:pPr>
        <w:pStyle w:val="Heading"/>
        <w:jc w:val="center"/>
        <w:rPr>
          <w:color w:val="000000"/>
        </w:rPr>
      </w:pPr>
      <w:r>
        <w:rPr>
          <w:color w:val="000000"/>
        </w:rPr>
      </w:r>
    </w:p>
    <w:p>
      <w:pPr>
        <w:pStyle w:val="Heading"/>
        <w:jc w:val="center"/>
        <w:rPr>
          <w:color w:val="000000"/>
        </w:rPr>
      </w:pPr>
      <w:r>
        <w:rPr>
          <w:color w:val="000000"/>
        </w:rPr>
      </w:r>
    </w:p>
    <w:p>
      <w:pPr>
        <w:pStyle w:val="Heading"/>
        <w:jc w:val="center"/>
        <w:rPr>
          <w:color w:val="000000"/>
        </w:rPr>
      </w:pPr>
      <w:r>
        <w:rPr>
          <w:color w:val="000000"/>
        </w:rPr>
        <w:t>Change Record</w:t>
      </w:r>
    </w:p>
    <w:tbl>
      <w:tblPr>
        <w:tblW w:w="9922"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1755"/>
        <w:gridCol w:w="1506"/>
        <w:gridCol w:w="6661"/>
      </w:tblGrid>
      <w:tr>
        <w:trPr/>
        <w:tc>
          <w:tcPr>
            <w:tcW w:w="1755" w:type="dxa"/>
            <w:tcBorders>
              <w:top w:val="single" w:sz="8" w:space="0" w:color="000000"/>
              <w:left w:val="single" w:sz="8" w:space="0" w:color="000000"/>
              <w:bottom w:val="single" w:sz="4" w:space="0" w:color="000000"/>
            </w:tcBorders>
            <w:shd w:color="auto" w:fill="579D1C" w:val="clear"/>
          </w:tcPr>
          <w:p>
            <w:pPr>
              <w:pStyle w:val="TableContents"/>
              <w:widowControl w:val="false"/>
              <w:spacing w:before="0" w:after="0"/>
              <w:jc w:val="center"/>
              <w:rPr>
                <w:color w:val="000000"/>
              </w:rPr>
            </w:pPr>
            <w:r>
              <w:rPr>
                <w:b/>
                <w:color w:val="000000"/>
                <w:sz w:val="20"/>
                <w:szCs w:val="20"/>
              </w:rPr>
              <w:t>Date of Change:</w:t>
            </w:r>
          </w:p>
        </w:tc>
        <w:tc>
          <w:tcPr>
            <w:tcW w:w="1506" w:type="dxa"/>
            <w:tcBorders>
              <w:top w:val="single" w:sz="8" w:space="0" w:color="000000"/>
              <w:left w:val="single" w:sz="4" w:space="0" w:color="000000"/>
              <w:bottom w:val="single" w:sz="4" w:space="0" w:color="000000"/>
            </w:tcBorders>
            <w:shd w:color="auto" w:fill="579D1C" w:val="clear"/>
          </w:tcPr>
          <w:p>
            <w:pPr>
              <w:pStyle w:val="TableContents"/>
              <w:widowControl w:val="false"/>
              <w:spacing w:before="0" w:after="0"/>
              <w:jc w:val="center"/>
              <w:rPr>
                <w:color w:val="000000"/>
              </w:rPr>
            </w:pPr>
            <w:r>
              <w:rPr>
                <w:b/>
                <w:color w:val="000000"/>
                <w:sz w:val="20"/>
                <w:szCs w:val="20"/>
              </w:rPr>
              <w:t>Changed By:</w:t>
            </w:r>
          </w:p>
        </w:tc>
        <w:tc>
          <w:tcPr>
            <w:tcW w:w="6661" w:type="dxa"/>
            <w:tcBorders>
              <w:top w:val="single" w:sz="8" w:space="0" w:color="000000"/>
              <w:left w:val="single" w:sz="4" w:space="0" w:color="000000"/>
              <w:bottom w:val="single" w:sz="4" w:space="0" w:color="000000"/>
              <w:right w:val="single" w:sz="8" w:space="0" w:color="000000"/>
            </w:tcBorders>
            <w:shd w:color="auto" w:fill="579D1C" w:val="clear"/>
          </w:tcPr>
          <w:p>
            <w:pPr>
              <w:pStyle w:val="TableContents"/>
              <w:widowControl w:val="false"/>
              <w:spacing w:before="0" w:after="0"/>
              <w:rPr>
                <w:color w:val="000000"/>
              </w:rPr>
            </w:pPr>
            <w:r>
              <w:rPr>
                <w:b/>
                <w:color w:val="000000"/>
                <w:sz w:val="20"/>
                <w:szCs w:val="20"/>
              </w:rPr>
              <w:t>Comments:</w:t>
            </w:r>
          </w:p>
        </w:tc>
      </w:tr>
      <w:tr>
        <w:trPr/>
        <w:tc>
          <w:tcPr>
            <w:tcW w:w="1755" w:type="dxa"/>
            <w:tcBorders>
              <w:left w:val="single" w:sz="8" w:space="0" w:color="000000"/>
              <w:bottom w:val="single" w:sz="4" w:space="0" w:color="000000"/>
            </w:tcBorders>
            <w:shd w:color="auto" w:fill="auto" w:val="clear"/>
          </w:tcPr>
          <w:p>
            <w:pPr>
              <w:pStyle w:val="TableContents"/>
              <w:widowControl w:val="false"/>
              <w:spacing w:before="120" w:after="0"/>
              <w:jc w:val="center"/>
              <w:rPr>
                <w:color w:val="000000"/>
              </w:rPr>
            </w:pPr>
            <w:r>
              <w:rPr>
                <w:color w:val="000000"/>
              </w:rPr>
              <w:t>dd/mm/yy</w:t>
            </w:r>
          </w:p>
        </w:tc>
        <w:tc>
          <w:tcPr>
            <w:tcW w:w="1506" w:type="dxa"/>
            <w:tcBorders>
              <w:left w:val="single" w:sz="4" w:space="0" w:color="000000"/>
              <w:bottom w:val="single" w:sz="4" w:space="0" w:color="000000"/>
            </w:tcBorders>
            <w:shd w:color="auto" w:fill="auto" w:val="clear"/>
          </w:tcPr>
          <w:p>
            <w:pPr>
              <w:pStyle w:val="TableContents"/>
              <w:widowControl w:val="false"/>
              <w:spacing w:before="120" w:after="0"/>
              <w:jc w:val="center"/>
              <w:rPr>
                <w:color w:val="000000"/>
              </w:rPr>
            </w:pPr>
            <w:r>
              <w:rPr>
                <w:color w:val="000000"/>
              </w:rPr>
              <w:t>XX</w:t>
            </w:r>
          </w:p>
        </w:tc>
        <w:tc>
          <w:tcPr>
            <w:tcW w:w="6661" w:type="dxa"/>
            <w:tcBorders>
              <w:left w:val="single" w:sz="4" w:space="0" w:color="000000"/>
              <w:bottom w:val="single" w:sz="4" w:space="0" w:color="000000"/>
              <w:right w:val="single" w:sz="8" w:space="0" w:color="000000"/>
            </w:tcBorders>
            <w:shd w:color="auto" w:fill="auto" w:val="clear"/>
          </w:tcPr>
          <w:p>
            <w:pPr>
              <w:pStyle w:val="TableContents"/>
              <w:widowControl w:val="false"/>
              <w:spacing w:before="120" w:after="0"/>
              <w:rPr>
                <w:color w:val="000000"/>
              </w:rPr>
            </w:pPr>
            <w:r>
              <w:rPr>
                <w:color w:val="000000"/>
              </w:rPr>
              <w:t>Policy approved by the Trustees</w:t>
            </w:r>
          </w:p>
        </w:tc>
      </w:tr>
      <w:tr>
        <w:trPr/>
        <w:tc>
          <w:tcPr>
            <w:tcW w:w="1755" w:type="dxa"/>
            <w:tcBorders>
              <w:left w:val="single" w:sz="8" w:space="0" w:color="000000"/>
              <w:bottom w:val="single" w:sz="4" w:space="0" w:color="000000"/>
            </w:tcBorders>
            <w:shd w:color="auto" w:fill="auto" w:val="clear"/>
          </w:tcPr>
          <w:p>
            <w:pPr>
              <w:pStyle w:val="TableContents"/>
              <w:widowControl w:val="false"/>
              <w:spacing w:before="120" w:after="0"/>
              <w:jc w:val="center"/>
              <w:rPr>
                <w:color w:val="000000"/>
              </w:rPr>
            </w:pPr>
            <w:r>
              <w:rPr>
                <w:color w:val="000000"/>
              </w:rPr>
            </w:r>
          </w:p>
        </w:tc>
        <w:tc>
          <w:tcPr>
            <w:tcW w:w="1506" w:type="dxa"/>
            <w:tcBorders>
              <w:left w:val="single" w:sz="4" w:space="0" w:color="000000"/>
              <w:bottom w:val="single" w:sz="4" w:space="0" w:color="000000"/>
            </w:tcBorders>
            <w:shd w:color="auto" w:fill="auto" w:val="clear"/>
          </w:tcPr>
          <w:p>
            <w:pPr>
              <w:pStyle w:val="TableContents"/>
              <w:widowControl w:val="false"/>
              <w:spacing w:before="120" w:after="0"/>
              <w:jc w:val="center"/>
              <w:rPr>
                <w:color w:val="000000"/>
              </w:rPr>
            </w:pPr>
            <w:r>
              <w:rPr>
                <w:color w:val="000000"/>
              </w:rPr>
            </w:r>
          </w:p>
        </w:tc>
        <w:tc>
          <w:tcPr>
            <w:tcW w:w="6661" w:type="dxa"/>
            <w:tcBorders>
              <w:left w:val="single" w:sz="4" w:space="0" w:color="000000"/>
              <w:bottom w:val="single" w:sz="4" w:space="0" w:color="000000"/>
              <w:right w:val="single" w:sz="8" w:space="0" w:color="000000"/>
            </w:tcBorders>
            <w:shd w:color="auto" w:fill="auto" w:val="clear"/>
          </w:tcPr>
          <w:p>
            <w:pPr>
              <w:pStyle w:val="TableContents"/>
              <w:widowControl w:val="false"/>
              <w:spacing w:before="120" w:after="0"/>
              <w:rPr>
                <w:color w:val="000000"/>
              </w:rPr>
            </w:pPr>
            <w:r>
              <w:rPr>
                <w:color w:val="000000"/>
              </w:rPr>
            </w:r>
          </w:p>
        </w:tc>
      </w:tr>
      <w:tr>
        <w:trPr/>
        <w:tc>
          <w:tcPr>
            <w:tcW w:w="1755" w:type="dxa"/>
            <w:tcBorders>
              <w:left w:val="single" w:sz="8" w:space="0" w:color="000000"/>
              <w:bottom w:val="single" w:sz="4" w:space="0" w:color="000000"/>
            </w:tcBorders>
            <w:shd w:color="auto" w:fill="auto" w:val="clear"/>
          </w:tcPr>
          <w:p>
            <w:pPr>
              <w:pStyle w:val="TableContents"/>
              <w:widowControl w:val="false"/>
              <w:spacing w:before="120" w:after="0"/>
              <w:jc w:val="center"/>
              <w:rPr>
                <w:color w:val="000000"/>
              </w:rPr>
            </w:pPr>
            <w:r>
              <w:rPr>
                <w:color w:val="000000"/>
              </w:rPr>
            </w:r>
          </w:p>
        </w:tc>
        <w:tc>
          <w:tcPr>
            <w:tcW w:w="1506" w:type="dxa"/>
            <w:tcBorders>
              <w:left w:val="single" w:sz="4" w:space="0" w:color="000000"/>
              <w:bottom w:val="single" w:sz="4" w:space="0" w:color="000000"/>
            </w:tcBorders>
            <w:shd w:color="auto" w:fill="auto" w:val="clear"/>
          </w:tcPr>
          <w:p>
            <w:pPr>
              <w:pStyle w:val="TableContents"/>
              <w:widowControl w:val="false"/>
              <w:spacing w:before="120" w:after="0"/>
              <w:jc w:val="center"/>
              <w:rPr>
                <w:color w:val="000000"/>
              </w:rPr>
            </w:pPr>
            <w:r>
              <w:rPr>
                <w:color w:val="000000"/>
              </w:rPr>
            </w:r>
          </w:p>
        </w:tc>
        <w:tc>
          <w:tcPr>
            <w:tcW w:w="6661" w:type="dxa"/>
            <w:tcBorders>
              <w:left w:val="single" w:sz="4" w:space="0" w:color="000000"/>
              <w:bottom w:val="single" w:sz="4" w:space="0" w:color="000000"/>
              <w:right w:val="single" w:sz="8" w:space="0" w:color="000000"/>
            </w:tcBorders>
            <w:shd w:color="auto" w:fill="auto" w:val="clear"/>
          </w:tcPr>
          <w:p>
            <w:pPr>
              <w:pStyle w:val="TableContents"/>
              <w:widowControl w:val="false"/>
              <w:spacing w:before="120" w:after="0"/>
              <w:rPr>
                <w:color w:val="000000"/>
              </w:rPr>
            </w:pPr>
            <w:r>
              <w:rPr>
                <w:color w:val="000000"/>
              </w:rPr>
            </w:r>
          </w:p>
        </w:tc>
      </w:tr>
      <w:tr>
        <w:trPr/>
        <w:tc>
          <w:tcPr>
            <w:tcW w:w="1755" w:type="dxa"/>
            <w:tcBorders>
              <w:left w:val="single" w:sz="8" w:space="0" w:color="000000"/>
              <w:bottom w:val="single" w:sz="8" w:space="0" w:color="000000"/>
            </w:tcBorders>
            <w:shd w:color="auto" w:fill="auto" w:val="clear"/>
          </w:tcPr>
          <w:p>
            <w:pPr>
              <w:pStyle w:val="TableContents"/>
              <w:widowControl w:val="false"/>
              <w:spacing w:before="120" w:after="0"/>
              <w:jc w:val="center"/>
              <w:rPr>
                <w:color w:val="000000"/>
              </w:rPr>
            </w:pPr>
            <w:r>
              <w:rPr>
                <w:color w:val="000000"/>
              </w:rPr>
            </w:r>
          </w:p>
        </w:tc>
        <w:tc>
          <w:tcPr>
            <w:tcW w:w="1506" w:type="dxa"/>
            <w:tcBorders>
              <w:left w:val="single" w:sz="4" w:space="0" w:color="000000"/>
              <w:bottom w:val="single" w:sz="8" w:space="0" w:color="000000"/>
            </w:tcBorders>
            <w:shd w:color="auto" w:fill="auto" w:val="clear"/>
          </w:tcPr>
          <w:p>
            <w:pPr>
              <w:pStyle w:val="TableContents"/>
              <w:widowControl w:val="false"/>
              <w:spacing w:before="120" w:after="0"/>
              <w:jc w:val="center"/>
              <w:rPr>
                <w:color w:val="000000"/>
              </w:rPr>
            </w:pPr>
            <w:r>
              <w:rPr>
                <w:color w:val="000000"/>
              </w:rPr>
            </w:r>
          </w:p>
        </w:tc>
        <w:tc>
          <w:tcPr>
            <w:tcW w:w="6661" w:type="dxa"/>
            <w:tcBorders>
              <w:left w:val="single" w:sz="4" w:space="0" w:color="000000"/>
              <w:bottom w:val="single" w:sz="8" w:space="0" w:color="000000"/>
              <w:right w:val="single" w:sz="8" w:space="0" w:color="000000"/>
            </w:tcBorders>
            <w:shd w:color="auto" w:fill="auto" w:val="clear"/>
          </w:tcPr>
          <w:p>
            <w:pPr>
              <w:pStyle w:val="TableContents"/>
              <w:widowControl w:val="false"/>
              <w:spacing w:before="120" w:after="0"/>
              <w:rPr>
                <w:color w:val="000000"/>
              </w:rPr>
            </w:pPr>
            <w:r>
              <w:rPr>
                <w:color w:val="000000"/>
              </w:rPr>
            </w:r>
          </w:p>
        </w:tc>
      </w:tr>
    </w:tbl>
    <w:p>
      <w:pPr>
        <w:pStyle w:val="Normal"/>
        <w:rPr>
          <w:color w:val="000000"/>
        </w:rPr>
      </w:pPr>
      <w:r>
        <w:rPr>
          <w:color w:val="000000"/>
        </w:rPr>
      </w:r>
    </w:p>
    <w:p>
      <w:pPr>
        <w:pStyle w:val="Normal"/>
        <w:jc w:val="center"/>
        <w:rPr>
          <w:rFonts w:ascii="Arial" w:hAnsi="Arial"/>
          <w:color w:val="000000"/>
          <w:sz w:val="12"/>
          <w:szCs w:val="12"/>
        </w:rPr>
      </w:pPr>
      <w:r>
        <w:rPr>
          <w:rFonts w:ascii="Arial" w:hAnsi="Arial"/>
          <w:b/>
          <w:color w:val="000000"/>
          <w:sz w:val="12"/>
          <w:szCs w:val="12"/>
        </w:rPr>
        <w:t>© 2021  Small Charity Support</w:t>
      </w:r>
    </w:p>
    <w:p>
      <w:pPr>
        <w:pStyle w:val="Normal"/>
        <w:jc w:val="center"/>
        <w:rPr>
          <w:rFonts w:ascii="Arial" w:hAnsi="Arial"/>
          <w:color w:val="000000"/>
          <w:sz w:val="12"/>
          <w:szCs w:val="12"/>
        </w:rPr>
      </w:pPr>
      <w:r>
        <w:rPr>
          <w:rFonts w:ascii="Arial" w:hAnsi="Arial"/>
          <w:bCs/>
          <w:color w:val="000000"/>
          <w:sz w:val="12"/>
          <w:szCs w:val="12"/>
        </w:rPr>
        <w:t>This leaflet is made available to charities and not-for-profit organisations under a</w:t>
        <w:br/>
        <w:t xml:space="preserve">Creative Commons  </w:t>
      </w:r>
      <w:r>
        <w:rPr>
          <w:rFonts w:ascii="Arial" w:hAnsi="Arial"/>
          <w:b/>
          <w:color w:val="000000"/>
          <w:sz w:val="12"/>
          <w:szCs w:val="12"/>
        </w:rPr>
        <w:t>Attributable – Non Commercial – Share Alike</w:t>
      </w:r>
      <w:r>
        <w:rPr>
          <w:rFonts w:ascii="Arial" w:hAnsi="Arial"/>
          <w:bCs/>
          <w:color w:val="000000"/>
          <w:sz w:val="12"/>
          <w:szCs w:val="12"/>
        </w:rPr>
        <w:t xml:space="preserve">  International 4.0 License</w:t>
      </w:r>
    </w:p>
    <w:p>
      <w:pPr>
        <w:pStyle w:val="Normal"/>
        <w:jc w:val="center"/>
        <w:rPr>
          <w:rFonts w:ascii="Arial" w:hAnsi="Arial"/>
          <w:color w:val="000000"/>
          <w:sz w:val="12"/>
          <w:szCs w:val="12"/>
        </w:rPr>
      </w:pPr>
      <w:r>
        <w:rPr>
          <w:rFonts w:ascii="Arial" w:hAnsi="Arial"/>
          <w:color w:val="000000"/>
          <w:sz w:val="12"/>
          <w:szCs w:val="12"/>
        </w:rPr>
        <w:t>That license lets you remix, adapt, and build upon this material non-commercially, as long as you credit Small Charity Support and license your new creations under the identical terms.</w:t>
      </w:r>
    </w:p>
    <w:p>
      <w:pPr>
        <w:pStyle w:val="Normal"/>
        <w:suppressAutoHyphens w:val="false"/>
        <w:spacing w:before="0" w:after="0"/>
        <w:rPr>
          <w:color w:val="000000"/>
        </w:rPr>
      </w:pPr>
      <w:r>
        <w:rPr>
          <w:color w:val="000000"/>
        </w:rPr>
      </w:r>
      <w:r>
        <w:br w:type="page"/>
      </w:r>
    </w:p>
    <w:p>
      <w:pPr>
        <w:pStyle w:val="Normal"/>
        <w:ind w:left="1418" w:right="1417" w:hanging="0"/>
        <w:jc w:val="center"/>
        <w:rPr>
          <w:color w:val="000000"/>
        </w:rPr>
      </w:pPr>
      <w:r>
        <w:rPr>
          <w:color w:val="000000"/>
        </w:rPr>
        <w:br/>
      </w:r>
    </w:p>
    <w:p>
      <w:pPr>
        <w:pStyle w:val="Normal"/>
        <w:jc w:val="center"/>
        <w:rPr>
          <w:b/>
          <w:b/>
          <w:color w:val="000000"/>
          <w:sz w:val="40"/>
          <w:szCs w:val="40"/>
        </w:rPr>
      </w:pPr>
      <w:r>
        <w:rPr>
          <w:b/>
          <w:color w:val="000000"/>
          <w:sz w:val="40"/>
          <w:szCs w:val="40"/>
        </w:rPr>
      </w:r>
    </w:p>
    <w:p>
      <w:pPr>
        <w:pStyle w:val="Normal"/>
        <w:suppressAutoHyphens w:val="false"/>
        <w:spacing w:before="240" w:after="0"/>
        <w:ind w:left="567" w:right="522" w:hanging="0"/>
        <w:jc w:val="both"/>
        <w:rPr>
          <w:rFonts w:ascii="Calibri" w:hAnsi="Calibri" w:eastAsia="Calibri" w:cs="Calibri" w:asciiTheme="minorHAnsi" w:cstheme="minorHAnsi" w:hAnsiTheme="minorHAnsi"/>
          <w:b/>
          <w:b/>
          <w:kern w:val="0"/>
          <w:sz w:val="24"/>
          <w:lang w:eastAsia="en-US"/>
        </w:rPr>
      </w:pPr>
      <w:r>
        <w:rPr>
          <w:rFonts w:eastAsia="Calibri" w:cs="Calibri" w:cstheme="minorHAnsi" w:ascii="Calibri" w:hAnsi="Calibri"/>
          <w:b/>
          <w:kern w:val="0"/>
          <w:sz w:val="24"/>
          <w:lang w:eastAsia="en-US"/>
        </w:rPr>
      </w:r>
    </w:p>
    <w:p>
      <w:pPr>
        <w:pStyle w:val="Normal"/>
        <w:jc w:val="center"/>
        <w:rPr>
          <w:b/>
          <w:b/>
          <w:color w:val="000000"/>
          <w:sz w:val="72"/>
          <w:szCs w:val="72"/>
        </w:rPr>
      </w:pPr>
      <w:r>
        <w:rPr>
          <w:b/>
          <w:color w:val="000000"/>
          <w:sz w:val="72"/>
          <w:szCs w:val="72"/>
        </w:rPr>
      </w:r>
    </w:p>
    <w:p>
      <w:pPr>
        <w:pStyle w:val="Normal"/>
        <w:jc w:val="center"/>
        <w:rPr>
          <w:b/>
          <w:b/>
          <w:color w:val="000000"/>
          <w:sz w:val="72"/>
          <w:szCs w:val="72"/>
        </w:rPr>
      </w:pPr>
      <w:r>
        <w:rPr>
          <w:b/>
          <w:color w:val="000000"/>
          <w:sz w:val="72"/>
          <w:szCs w:val="72"/>
        </w:rPr>
      </w:r>
    </w:p>
    <w:p>
      <w:pPr>
        <w:pStyle w:val="Normal"/>
        <w:jc w:val="center"/>
        <w:rPr>
          <w:rFonts w:ascii="Calibri" w:hAnsi="Calibri" w:eastAsia="Calibri" w:cs="" w:asciiTheme="minorHAnsi" w:cstheme="minorBidi" w:eastAsiaTheme="minorHAnsi" w:hAnsiTheme="minorHAnsi"/>
          <w:b/>
          <w:b/>
          <w:bCs/>
          <w:kern w:val="0"/>
          <w:sz w:val="24"/>
          <w:szCs w:val="28"/>
          <w:lang w:eastAsia="en-US"/>
        </w:rPr>
      </w:pPr>
      <w:r>
        <w:rPr>
          <w:rFonts w:eastAsia="Calibri" w:cs="" w:cstheme="minorBidi" w:eastAsiaTheme="minorHAnsi" w:ascii="Calibri" w:hAnsi="Calibri"/>
          <w:b/>
          <w:bCs/>
          <w:kern w:val="0"/>
          <w:sz w:val="24"/>
          <w:szCs w:val="28"/>
          <w:lang w:eastAsia="en-US"/>
        </w:rPr>
      </w:r>
    </w:p>
    <w:p>
      <w:pPr>
        <w:pStyle w:val="Normal"/>
        <w:tabs>
          <w:tab w:val="clear" w:pos="567"/>
          <w:tab w:val="left" w:pos="3120" w:leader="none"/>
          <w:tab w:val="center" w:pos="4961" w:leader="none"/>
        </w:tabs>
        <w:spacing w:before="80" w:after="0"/>
        <w:jc w:val="center"/>
        <w:rPr>
          <w:color w:val="000000"/>
        </w:rPr>
      </w:pPr>
      <w:r>
        <w:rPr/>
      </w:r>
    </w:p>
    <w:sectPr>
      <w:footerReference w:type="default" r:id="rId4"/>
      <w:type w:val="nextPage"/>
      <w:pgSz w:w="11906" w:h="16838"/>
      <w:pgMar w:left="1134" w:right="851" w:gutter="0" w:header="0" w:top="567" w:footer="567"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Calibri">
    <w:charset w:val="00"/>
    <w:family w:val="roman"/>
    <w:pitch w:val="variable"/>
  </w:font>
  <w:font w:name="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color w:val="000000"/>
      </w:rPr>
    </w:pPr>
    <w:r>
      <w:rPr>
        <w:color w:val="000000"/>
      </w:rPr>
      <w:t xml:space="preserve">Data Protection Policy – Page </w:t>
    </w:r>
    <w:r>
      <w:rPr>
        <w:color w:val="000000"/>
      </w:rPr>
      <w:fldChar w:fldCharType="begin"/>
    </w:r>
    <w:r>
      <w:rPr>
        <w:color w:val="000000"/>
      </w:rPr>
      <w:instrText xml:space="preserve"> PAGE </w:instrText>
    </w:r>
    <w:r>
      <w:rPr>
        <w:color w:val="000000"/>
      </w:rPr>
      <w:fldChar w:fldCharType="separate"/>
    </w:r>
    <w:r>
      <w:rPr>
        <w:color w:val="000000"/>
      </w:rPr>
      <w:t>13</w:t>
    </w:r>
    <w:r>
      <w:rPr>
        <w:color w:val="000000"/>
      </w:rPr>
      <w:fldChar w:fldCharType="end"/>
    </w:r>
    <w:r>
      <w:rPr>
        <w:color w:val="000000"/>
      </w:rPr>
      <w:t xml:space="preserve"> of </w:t>
    </w:r>
    <w:r>
      <w:rPr>
        <w:color w:val="000000"/>
      </w:rPr>
      <w:fldChar w:fldCharType="begin"/>
    </w:r>
    <w:r>
      <w:rPr>
        <w:color w:val="000000"/>
      </w:rPr>
      <w:instrText xml:space="preserve"> NUMPAGES </w:instrText>
    </w:r>
    <w:r>
      <w:rPr>
        <w:color w:val="000000"/>
      </w:rPr>
      <w:fldChar w:fldCharType="separate"/>
    </w:r>
    <w:r>
      <w:rPr>
        <w:color w:val="000000"/>
      </w:rPr>
      <w:t>13</w:t>
    </w:r>
    <w:r>
      <w:rPr>
        <w:color w:val="00000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0"/>
        </w:tabs>
        <w:ind w:left="567" w:hanging="567"/>
      </w:pPr>
      <w:rPr/>
    </w:lvl>
    <w:lvl w:ilvl="1">
      <w:start w:val="1"/>
      <w:numFmt w:val="decimal"/>
      <w:lvlText w:val="%1.%2"/>
      <w:lvlJc w:val="left"/>
      <w:pPr>
        <w:tabs>
          <w:tab w:val="num" w:pos="576"/>
        </w:tabs>
        <w:ind w:left="709" w:hanging="709"/>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decimal"/>
      <w:lvlText w:val="%8."/>
      <w:lvlJc w:val="left"/>
      <w:pPr>
        <w:tabs>
          <w:tab w:val="num" w:pos="0"/>
        </w:tabs>
        <w:ind w:left="567" w:hanging="567"/>
      </w:pPr>
      <w:rPr/>
    </w:lvl>
    <w:lvl w:ilvl="8">
      <w:start w:val="1"/>
      <w:numFmt w:val="bullet"/>
      <w:lvlText w:val=""/>
      <w:lvlJc w:val="left"/>
      <w:pPr>
        <w:tabs>
          <w:tab w:val="num" w:pos="0"/>
        </w:tabs>
        <w:ind w:left="992" w:hanging="425"/>
      </w:pPr>
      <w:rPr>
        <w:rFonts w:ascii="Symbol" w:hAnsi="Symbol" w:cs="Symbol" w:hint="default"/>
      </w:rPr>
    </w:lvl>
  </w:abstractNum>
  <w:abstractNum w:abstractNumId="6">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7">
    <w:lvl w:ilvl="0">
      <w:start w:val="1"/>
      <w:numFmt w:val="bullet"/>
      <w:lvlText w:val=""/>
      <w:lvlJc w:val="left"/>
      <w:pPr>
        <w:ind w:left="-1953" w:hanging="360"/>
      </w:pPr>
      <w:rPr>
        <w:rFonts w:ascii="Symbol" w:hAnsi="Symbol" w:cs="Symbol" w:hint="default"/>
      </w:rPr>
    </w:lvl>
    <w:lvl w:ilvl="1">
      <w:start w:val="1"/>
      <w:numFmt w:val="bullet"/>
      <w:lvlText w:val="◦"/>
      <w:lvlJc w:val="left"/>
      <w:pPr>
        <w:ind w:left="-1593" w:hanging="360"/>
      </w:pPr>
      <w:rPr>
        <w:rFonts w:ascii="OpenSymbol" w:hAnsi="OpenSymbol" w:cs="OpenSymbol" w:hint="default"/>
      </w:rPr>
    </w:lvl>
    <w:lvl w:ilvl="2">
      <w:start w:val="1"/>
      <w:numFmt w:val="bullet"/>
      <w:lvlText w:val="▪"/>
      <w:lvlJc w:val="left"/>
      <w:pPr>
        <w:ind w:left="-1233" w:hanging="360"/>
      </w:pPr>
      <w:rPr>
        <w:rFonts w:ascii="OpenSymbol" w:hAnsi="OpenSymbol" w:cs="OpenSymbol" w:hint="default"/>
      </w:rPr>
    </w:lvl>
    <w:lvl w:ilvl="3">
      <w:start w:val="1"/>
      <w:numFmt w:val="bullet"/>
      <w:lvlText w:val=""/>
      <w:lvlJc w:val="left"/>
      <w:pPr>
        <w:ind w:left="-873" w:hanging="360"/>
      </w:pPr>
      <w:rPr>
        <w:rFonts w:ascii="Symbol" w:hAnsi="Symbol" w:cs="Symbol" w:hint="default"/>
      </w:rPr>
    </w:lvl>
    <w:lvl w:ilvl="4">
      <w:start w:val="1"/>
      <w:numFmt w:val="bullet"/>
      <w:lvlText w:val="◦"/>
      <w:lvlJc w:val="left"/>
      <w:pPr>
        <w:ind w:left="-513" w:hanging="360"/>
      </w:pPr>
      <w:rPr>
        <w:rFonts w:ascii="OpenSymbol" w:hAnsi="OpenSymbol" w:cs="OpenSymbol" w:hint="default"/>
      </w:rPr>
    </w:lvl>
    <w:lvl w:ilvl="5">
      <w:start w:val="1"/>
      <w:numFmt w:val="bullet"/>
      <w:lvlText w:val="▪"/>
      <w:lvlJc w:val="left"/>
      <w:pPr>
        <w:ind w:left="-153" w:hanging="360"/>
      </w:pPr>
      <w:rPr>
        <w:rFonts w:ascii="OpenSymbol" w:hAnsi="OpenSymbol" w:cs="OpenSymbol" w:hint="default"/>
      </w:rPr>
    </w:lvl>
    <w:lvl w:ilvl="6">
      <w:start w:val="1"/>
      <w:numFmt w:val="bullet"/>
      <w:lvlText w:val=""/>
      <w:lvlJc w:val="left"/>
      <w:pPr>
        <w:tabs>
          <w:tab w:val="num" w:pos="207"/>
        </w:tabs>
        <w:ind w:left="207" w:hanging="360"/>
      </w:pPr>
      <w:rPr>
        <w:rFonts w:ascii="Symbol" w:hAnsi="Symbol" w:cs="Symbol" w:hint="default"/>
      </w:rPr>
    </w:lvl>
    <w:lvl w:ilvl="7">
      <w:start w:val="1"/>
      <w:numFmt w:val="bullet"/>
      <w:lvlText w:val="◦"/>
      <w:lvlJc w:val="left"/>
      <w:pPr>
        <w:tabs>
          <w:tab w:val="num" w:pos="567"/>
        </w:tabs>
        <w:ind w:left="567" w:hanging="360"/>
      </w:pPr>
      <w:rPr>
        <w:rFonts w:ascii="OpenSymbol" w:hAnsi="OpenSymbol" w:cs="OpenSymbol" w:hint="default"/>
      </w:rPr>
    </w:lvl>
    <w:lvl w:ilvl="8">
      <w:start w:val="1"/>
      <w:numFmt w:val="bullet"/>
      <w:lvlText w:val=""/>
      <w:lvlJc w:val="left"/>
      <w:pPr>
        <w:tabs>
          <w:tab w:val="num" w:pos="927"/>
        </w:tabs>
        <w:ind w:left="927" w:hanging="360"/>
      </w:pPr>
      <w:rPr>
        <w:rFonts w:ascii="Symbol" w:hAnsi="Symbol" w:cs="Symbol" w:hint="default"/>
      </w:rPr>
    </w:lvl>
  </w:abstractNum>
  <w:abstractNum w:abstractNumId="8">
    <w:lvl w:ilvl="0">
      <w:start w:val="1"/>
      <w:numFmt w:val="bullet"/>
      <w:lvlText w:val=""/>
      <w:lvlJc w:val="left"/>
      <w:pPr>
        <w:ind w:left="-1953" w:hanging="360"/>
      </w:pPr>
      <w:rPr>
        <w:rFonts w:ascii="Symbol" w:hAnsi="Symbol" w:cs="Symbol" w:hint="default"/>
      </w:rPr>
    </w:lvl>
    <w:lvl w:ilvl="1">
      <w:start w:val="1"/>
      <w:numFmt w:val="bullet"/>
      <w:lvlText w:val="◦"/>
      <w:lvlJc w:val="left"/>
      <w:pPr>
        <w:ind w:left="-1593" w:hanging="360"/>
      </w:pPr>
      <w:rPr>
        <w:rFonts w:ascii="OpenSymbol" w:hAnsi="OpenSymbol" w:cs="OpenSymbol" w:hint="default"/>
      </w:rPr>
    </w:lvl>
    <w:lvl w:ilvl="2">
      <w:start w:val="1"/>
      <w:numFmt w:val="bullet"/>
      <w:lvlText w:val="▪"/>
      <w:lvlJc w:val="left"/>
      <w:pPr>
        <w:ind w:left="-1233" w:hanging="360"/>
      </w:pPr>
      <w:rPr>
        <w:rFonts w:ascii="OpenSymbol" w:hAnsi="OpenSymbol" w:cs="OpenSymbol" w:hint="default"/>
      </w:rPr>
    </w:lvl>
    <w:lvl w:ilvl="3">
      <w:start w:val="1"/>
      <w:numFmt w:val="bullet"/>
      <w:lvlText w:val=""/>
      <w:lvlJc w:val="left"/>
      <w:pPr>
        <w:ind w:left="-873" w:hanging="360"/>
      </w:pPr>
      <w:rPr>
        <w:rFonts w:ascii="Symbol" w:hAnsi="Symbol" w:cs="Symbol" w:hint="default"/>
      </w:rPr>
    </w:lvl>
    <w:lvl w:ilvl="4">
      <w:start w:val="1"/>
      <w:numFmt w:val="bullet"/>
      <w:lvlText w:val="◦"/>
      <w:lvlJc w:val="left"/>
      <w:pPr>
        <w:ind w:left="-513" w:hanging="360"/>
      </w:pPr>
      <w:rPr>
        <w:rFonts w:ascii="OpenSymbol" w:hAnsi="OpenSymbol" w:cs="OpenSymbol" w:hint="default"/>
      </w:rPr>
    </w:lvl>
    <w:lvl w:ilvl="5">
      <w:start w:val="1"/>
      <w:numFmt w:val="bullet"/>
      <w:lvlText w:val="▪"/>
      <w:lvlJc w:val="left"/>
      <w:pPr>
        <w:ind w:left="-153" w:hanging="360"/>
      </w:pPr>
      <w:rPr>
        <w:rFonts w:ascii="OpenSymbol" w:hAnsi="OpenSymbol" w:cs="OpenSymbol" w:hint="default"/>
      </w:rPr>
    </w:lvl>
    <w:lvl w:ilvl="6">
      <w:start w:val="1"/>
      <w:numFmt w:val="bullet"/>
      <w:lvlText w:val=""/>
      <w:lvlJc w:val="left"/>
      <w:pPr>
        <w:tabs>
          <w:tab w:val="num" w:pos="207"/>
        </w:tabs>
        <w:ind w:left="207" w:hanging="360"/>
      </w:pPr>
      <w:rPr>
        <w:rFonts w:ascii="Symbol" w:hAnsi="Symbol" w:cs="Symbol" w:hint="default"/>
      </w:rPr>
    </w:lvl>
    <w:lvl w:ilvl="7">
      <w:start w:val="1"/>
      <w:numFmt w:val="bullet"/>
      <w:lvlText w:val="◦"/>
      <w:lvlJc w:val="left"/>
      <w:pPr>
        <w:tabs>
          <w:tab w:val="num" w:pos="567"/>
        </w:tabs>
        <w:ind w:left="567" w:hanging="360"/>
      </w:pPr>
      <w:rPr>
        <w:rFonts w:ascii="OpenSymbol" w:hAnsi="OpenSymbol" w:cs="OpenSymbol" w:hint="default"/>
      </w:rPr>
    </w:lvl>
    <w:lvl w:ilvl="8">
      <w:start w:val="1"/>
      <w:numFmt w:val="bullet"/>
      <w:lvlText w:val=""/>
      <w:lvlJc w:val="left"/>
      <w:pPr>
        <w:tabs>
          <w:tab w:val="num" w:pos="927"/>
        </w:tabs>
        <w:ind w:left="927" w:hanging="360"/>
      </w:pPr>
      <w:rPr>
        <w:rFonts w:ascii="Symbol" w:hAnsi="Symbol" w:cs="Symbol" w:hint="default"/>
      </w:rPr>
    </w:lvl>
  </w:abstractNum>
  <w:abstractNum w:abstractNumId="9">
    <w:lvl w:ilvl="0">
      <w:start w:val="1"/>
      <w:numFmt w:val="bullet"/>
      <w:lvlText w:val=""/>
      <w:lvlJc w:val="left"/>
      <w:pPr>
        <w:ind w:left="-1953" w:hanging="360"/>
      </w:pPr>
      <w:rPr>
        <w:rFonts w:ascii="Symbol" w:hAnsi="Symbol" w:cs="Symbol" w:hint="default"/>
      </w:rPr>
    </w:lvl>
    <w:lvl w:ilvl="1">
      <w:start w:val="1"/>
      <w:numFmt w:val="bullet"/>
      <w:lvlText w:val="◦"/>
      <w:lvlJc w:val="left"/>
      <w:pPr>
        <w:ind w:left="-1593" w:hanging="360"/>
      </w:pPr>
      <w:rPr>
        <w:rFonts w:ascii="OpenSymbol" w:hAnsi="OpenSymbol" w:cs="OpenSymbol" w:hint="default"/>
      </w:rPr>
    </w:lvl>
    <w:lvl w:ilvl="2">
      <w:start w:val="1"/>
      <w:numFmt w:val="bullet"/>
      <w:lvlText w:val="▪"/>
      <w:lvlJc w:val="left"/>
      <w:pPr>
        <w:ind w:left="-1233" w:hanging="360"/>
      </w:pPr>
      <w:rPr>
        <w:rFonts w:ascii="OpenSymbol" w:hAnsi="OpenSymbol" w:cs="OpenSymbol" w:hint="default"/>
      </w:rPr>
    </w:lvl>
    <w:lvl w:ilvl="3">
      <w:start w:val="1"/>
      <w:numFmt w:val="bullet"/>
      <w:lvlText w:val=""/>
      <w:lvlJc w:val="left"/>
      <w:pPr>
        <w:ind w:left="-873" w:hanging="360"/>
      </w:pPr>
      <w:rPr>
        <w:rFonts w:ascii="Symbol" w:hAnsi="Symbol" w:cs="Symbol" w:hint="default"/>
      </w:rPr>
    </w:lvl>
    <w:lvl w:ilvl="4">
      <w:start w:val="1"/>
      <w:numFmt w:val="bullet"/>
      <w:lvlText w:val="◦"/>
      <w:lvlJc w:val="left"/>
      <w:pPr>
        <w:ind w:left="-513" w:hanging="360"/>
      </w:pPr>
      <w:rPr>
        <w:rFonts w:ascii="OpenSymbol" w:hAnsi="OpenSymbol" w:cs="OpenSymbol" w:hint="default"/>
      </w:rPr>
    </w:lvl>
    <w:lvl w:ilvl="5">
      <w:start w:val="1"/>
      <w:numFmt w:val="bullet"/>
      <w:lvlText w:val="▪"/>
      <w:lvlJc w:val="left"/>
      <w:pPr>
        <w:ind w:left="-153" w:hanging="360"/>
      </w:pPr>
      <w:rPr>
        <w:rFonts w:ascii="OpenSymbol" w:hAnsi="OpenSymbol" w:cs="OpenSymbol" w:hint="default"/>
      </w:rPr>
    </w:lvl>
    <w:lvl w:ilvl="6">
      <w:start w:val="1"/>
      <w:numFmt w:val="bullet"/>
      <w:lvlText w:val=""/>
      <w:lvlJc w:val="left"/>
      <w:pPr>
        <w:tabs>
          <w:tab w:val="num" w:pos="207"/>
        </w:tabs>
        <w:ind w:left="207" w:hanging="360"/>
      </w:pPr>
      <w:rPr>
        <w:rFonts w:ascii="Symbol" w:hAnsi="Symbol" w:cs="Symbol" w:hint="default"/>
      </w:rPr>
    </w:lvl>
    <w:lvl w:ilvl="7">
      <w:start w:val="1"/>
      <w:numFmt w:val="bullet"/>
      <w:lvlText w:val="◦"/>
      <w:lvlJc w:val="left"/>
      <w:pPr>
        <w:tabs>
          <w:tab w:val="num" w:pos="567"/>
        </w:tabs>
        <w:ind w:left="567" w:hanging="360"/>
      </w:pPr>
      <w:rPr>
        <w:rFonts w:ascii="OpenSymbol" w:hAnsi="OpenSymbol" w:cs="OpenSymbol" w:hint="default"/>
      </w:rPr>
    </w:lvl>
    <w:lvl w:ilvl="8">
      <w:start w:val="1"/>
      <w:numFmt w:val="bullet"/>
      <w:lvlText w:val=""/>
      <w:lvlJc w:val="left"/>
      <w:pPr>
        <w:tabs>
          <w:tab w:val="num" w:pos="927"/>
        </w:tabs>
        <w:ind w:left="927" w:hanging="360"/>
      </w:pPr>
      <w:rPr>
        <w:rFonts w:ascii="Symbol" w:hAnsi="Symbol" w:cs="Symbol" w:hint="default"/>
      </w:rPr>
    </w:lvl>
  </w:abstractNum>
  <w:abstractNum w:abstractNumId="10">
    <w:lvl w:ilvl="0">
      <w:start w:val="1"/>
      <w:numFmt w:val="bullet"/>
      <w:lvlText w:val=""/>
      <w:lvlJc w:val="left"/>
      <w:pPr>
        <w:ind w:left="-1953" w:hanging="360"/>
      </w:pPr>
      <w:rPr>
        <w:rFonts w:ascii="Symbol" w:hAnsi="Symbol" w:cs="Symbol" w:hint="default"/>
      </w:rPr>
    </w:lvl>
    <w:lvl w:ilvl="1">
      <w:start w:val="1"/>
      <w:numFmt w:val="bullet"/>
      <w:lvlText w:val="◦"/>
      <w:lvlJc w:val="left"/>
      <w:pPr>
        <w:ind w:left="-1593" w:hanging="360"/>
      </w:pPr>
      <w:rPr>
        <w:rFonts w:ascii="OpenSymbol" w:hAnsi="OpenSymbol" w:cs="OpenSymbol" w:hint="default"/>
      </w:rPr>
    </w:lvl>
    <w:lvl w:ilvl="2">
      <w:start w:val="1"/>
      <w:numFmt w:val="bullet"/>
      <w:lvlText w:val="▪"/>
      <w:lvlJc w:val="left"/>
      <w:pPr>
        <w:ind w:left="-1233" w:hanging="360"/>
      </w:pPr>
      <w:rPr>
        <w:rFonts w:ascii="OpenSymbol" w:hAnsi="OpenSymbol" w:cs="OpenSymbol" w:hint="default"/>
      </w:rPr>
    </w:lvl>
    <w:lvl w:ilvl="3">
      <w:start w:val="1"/>
      <w:numFmt w:val="bullet"/>
      <w:lvlText w:val=""/>
      <w:lvlJc w:val="left"/>
      <w:pPr>
        <w:ind w:left="-873" w:hanging="360"/>
      </w:pPr>
      <w:rPr>
        <w:rFonts w:ascii="Symbol" w:hAnsi="Symbol" w:cs="Symbol" w:hint="default"/>
      </w:rPr>
    </w:lvl>
    <w:lvl w:ilvl="4">
      <w:start w:val="1"/>
      <w:numFmt w:val="bullet"/>
      <w:lvlText w:val="◦"/>
      <w:lvlJc w:val="left"/>
      <w:pPr>
        <w:ind w:left="-513" w:hanging="360"/>
      </w:pPr>
      <w:rPr>
        <w:rFonts w:ascii="OpenSymbol" w:hAnsi="OpenSymbol" w:cs="OpenSymbol" w:hint="default"/>
      </w:rPr>
    </w:lvl>
    <w:lvl w:ilvl="5">
      <w:start w:val="1"/>
      <w:numFmt w:val="bullet"/>
      <w:lvlText w:val="▪"/>
      <w:lvlJc w:val="left"/>
      <w:pPr>
        <w:ind w:left="-153" w:hanging="360"/>
      </w:pPr>
      <w:rPr>
        <w:rFonts w:ascii="OpenSymbol" w:hAnsi="OpenSymbol" w:cs="OpenSymbol" w:hint="default"/>
      </w:rPr>
    </w:lvl>
    <w:lvl w:ilvl="6">
      <w:start w:val="1"/>
      <w:numFmt w:val="bullet"/>
      <w:lvlText w:val=""/>
      <w:lvlJc w:val="left"/>
      <w:pPr>
        <w:tabs>
          <w:tab w:val="num" w:pos="207"/>
        </w:tabs>
        <w:ind w:left="207" w:hanging="360"/>
      </w:pPr>
      <w:rPr>
        <w:rFonts w:ascii="Symbol" w:hAnsi="Symbol" w:cs="Symbol" w:hint="default"/>
      </w:rPr>
    </w:lvl>
    <w:lvl w:ilvl="7">
      <w:start w:val="1"/>
      <w:numFmt w:val="bullet"/>
      <w:lvlText w:val="◦"/>
      <w:lvlJc w:val="left"/>
      <w:pPr>
        <w:tabs>
          <w:tab w:val="num" w:pos="567"/>
        </w:tabs>
        <w:ind w:left="567" w:hanging="360"/>
      </w:pPr>
      <w:rPr>
        <w:rFonts w:ascii="OpenSymbol" w:hAnsi="OpenSymbol" w:cs="OpenSymbol" w:hint="default"/>
      </w:rPr>
    </w:lvl>
    <w:lvl w:ilvl="8">
      <w:start w:val="1"/>
      <w:numFmt w:val="bullet"/>
      <w:lvlText w:val=""/>
      <w:lvlJc w:val="left"/>
      <w:pPr>
        <w:tabs>
          <w:tab w:val="num" w:pos="927"/>
        </w:tabs>
        <w:ind w:left="927" w:hanging="360"/>
      </w:pPr>
      <w:rPr>
        <w:rFonts w:ascii="Symbol" w:hAnsi="Symbol" w:cs="Symbol" w:hint="default"/>
      </w:rPr>
    </w:lvl>
  </w:abstractNum>
  <w:abstractNum w:abstractNumId="11">
    <w:lvl w:ilvl="0">
      <w:start w:val="1"/>
      <w:numFmt w:val="bullet"/>
      <w:lvlText w:val=""/>
      <w:lvlJc w:val="left"/>
      <w:pPr>
        <w:ind w:left="-1953" w:hanging="360"/>
      </w:pPr>
      <w:rPr>
        <w:rFonts w:ascii="Symbol" w:hAnsi="Symbol" w:cs="Symbol" w:hint="default"/>
      </w:rPr>
    </w:lvl>
    <w:lvl w:ilvl="1">
      <w:start w:val="1"/>
      <w:numFmt w:val="bullet"/>
      <w:lvlText w:val="◦"/>
      <w:lvlJc w:val="left"/>
      <w:pPr>
        <w:ind w:left="-1593" w:hanging="360"/>
      </w:pPr>
      <w:rPr>
        <w:rFonts w:ascii="OpenSymbol" w:hAnsi="OpenSymbol" w:cs="OpenSymbol" w:hint="default"/>
      </w:rPr>
    </w:lvl>
    <w:lvl w:ilvl="2">
      <w:start w:val="1"/>
      <w:numFmt w:val="bullet"/>
      <w:lvlText w:val="▪"/>
      <w:lvlJc w:val="left"/>
      <w:pPr>
        <w:ind w:left="-1233" w:hanging="360"/>
      </w:pPr>
      <w:rPr>
        <w:rFonts w:ascii="OpenSymbol" w:hAnsi="OpenSymbol" w:cs="OpenSymbol" w:hint="default"/>
      </w:rPr>
    </w:lvl>
    <w:lvl w:ilvl="3">
      <w:start w:val="1"/>
      <w:numFmt w:val="bullet"/>
      <w:lvlText w:val=""/>
      <w:lvlJc w:val="left"/>
      <w:pPr>
        <w:ind w:left="-873" w:hanging="360"/>
      </w:pPr>
      <w:rPr>
        <w:rFonts w:ascii="Symbol" w:hAnsi="Symbol" w:cs="Symbol" w:hint="default"/>
      </w:rPr>
    </w:lvl>
    <w:lvl w:ilvl="4">
      <w:start w:val="1"/>
      <w:numFmt w:val="bullet"/>
      <w:lvlText w:val="◦"/>
      <w:lvlJc w:val="left"/>
      <w:pPr>
        <w:ind w:left="-513" w:hanging="360"/>
      </w:pPr>
      <w:rPr>
        <w:rFonts w:ascii="OpenSymbol" w:hAnsi="OpenSymbol" w:cs="OpenSymbol" w:hint="default"/>
      </w:rPr>
    </w:lvl>
    <w:lvl w:ilvl="5">
      <w:start w:val="1"/>
      <w:numFmt w:val="bullet"/>
      <w:lvlText w:val="▪"/>
      <w:lvlJc w:val="left"/>
      <w:pPr>
        <w:ind w:left="-153" w:hanging="360"/>
      </w:pPr>
      <w:rPr>
        <w:rFonts w:ascii="OpenSymbol" w:hAnsi="OpenSymbol" w:cs="OpenSymbol" w:hint="default"/>
      </w:rPr>
    </w:lvl>
    <w:lvl w:ilvl="6">
      <w:start w:val="1"/>
      <w:numFmt w:val="bullet"/>
      <w:lvlText w:val=""/>
      <w:lvlJc w:val="left"/>
      <w:pPr>
        <w:tabs>
          <w:tab w:val="num" w:pos="207"/>
        </w:tabs>
        <w:ind w:left="207" w:hanging="360"/>
      </w:pPr>
      <w:rPr>
        <w:rFonts w:ascii="Symbol" w:hAnsi="Symbol" w:cs="Symbol" w:hint="default"/>
      </w:rPr>
    </w:lvl>
    <w:lvl w:ilvl="7">
      <w:start w:val="1"/>
      <w:numFmt w:val="bullet"/>
      <w:lvlText w:val="◦"/>
      <w:lvlJc w:val="left"/>
      <w:pPr>
        <w:tabs>
          <w:tab w:val="num" w:pos="567"/>
        </w:tabs>
        <w:ind w:left="567" w:hanging="360"/>
      </w:pPr>
      <w:rPr>
        <w:rFonts w:ascii="OpenSymbol" w:hAnsi="OpenSymbol" w:cs="OpenSymbol" w:hint="default"/>
      </w:rPr>
    </w:lvl>
    <w:lvl w:ilvl="8">
      <w:start w:val="1"/>
      <w:numFmt w:val="bullet"/>
      <w:lvlText w:val=""/>
      <w:lvlJc w:val="left"/>
      <w:pPr>
        <w:tabs>
          <w:tab w:val="num" w:pos="927"/>
        </w:tabs>
        <w:ind w:left="927" w:hanging="360"/>
      </w:pPr>
      <w:rPr>
        <w:rFonts w:ascii="Symbol" w:hAnsi="Symbol" w:cs="Symbol" w:hint="default"/>
      </w:rPr>
    </w:lvl>
  </w:abstractNum>
  <w:abstractNum w:abstractNumId="12">
    <w:lvl w:ilvl="0">
      <w:start w:val="1"/>
      <w:numFmt w:val="bullet"/>
      <w:lvlText w:val=""/>
      <w:lvlJc w:val="left"/>
      <w:pPr>
        <w:ind w:left="-1953" w:hanging="360"/>
      </w:pPr>
      <w:rPr>
        <w:rFonts w:ascii="Symbol" w:hAnsi="Symbol" w:cs="Symbol" w:hint="default"/>
      </w:rPr>
    </w:lvl>
    <w:lvl w:ilvl="1">
      <w:start w:val="1"/>
      <w:numFmt w:val="bullet"/>
      <w:lvlText w:val="◦"/>
      <w:lvlJc w:val="left"/>
      <w:pPr>
        <w:ind w:left="-1593" w:hanging="360"/>
      </w:pPr>
      <w:rPr>
        <w:rFonts w:ascii="OpenSymbol" w:hAnsi="OpenSymbol" w:cs="OpenSymbol" w:hint="default"/>
      </w:rPr>
    </w:lvl>
    <w:lvl w:ilvl="2">
      <w:start w:val="1"/>
      <w:numFmt w:val="bullet"/>
      <w:lvlText w:val="▪"/>
      <w:lvlJc w:val="left"/>
      <w:pPr>
        <w:ind w:left="-1233" w:hanging="360"/>
      </w:pPr>
      <w:rPr>
        <w:rFonts w:ascii="OpenSymbol" w:hAnsi="OpenSymbol" w:cs="OpenSymbol" w:hint="default"/>
      </w:rPr>
    </w:lvl>
    <w:lvl w:ilvl="3">
      <w:start w:val="1"/>
      <w:numFmt w:val="bullet"/>
      <w:lvlText w:val=""/>
      <w:lvlJc w:val="left"/>
      <w:pPr>
        <w:ind w:left="-873" w:hanging="360"/>
      </w:pPr>
      <w:rPr>
        <w:rFonts w:ascii="Symbol" w:hAnsi="Symbol" w:cs="Symbol" w:hint="default"/>
      </w:rPr>
    </w:lvl>
    <w:lvl w:ilvl="4">
      <w:start w:val="1"/>
      <w:numFmt w:val="bullet"/>
      <w:lvlText w:val="◦"/>
      <w:lvlJc w:val="left"/>
      <w:pPr>
        <w:ind w:left="-513" w:hanging="360"/>
      </w:pPr>
      <w:rPr>
        <w:rFonts w:ascii="OpenSymbol" w:hAnsi="OpenSymbol" w:cs="OpenSymbol" w:hint="default"/>
      </w:rPr>
    </w:lvl>
    <w:lvl w:ilvl="5">
      <w:start w:val="1"/>
      <w:numFmt w:val="bullet"/>
      <w:lvlText w:val="▪"/>
      <w:lvlJc w:val="left"/>
      <w:pPr>
        <w:ind w:left="-153" w:hanging="360"/>
      </w:pPr>
      <w:rPr>
        <w:rFonts w:ascii="OpenSymbol" w:hAnsi="OpenSymbol" w:cs="OpenSymbol" w:hint="default"/>
      </w:rPr>
    </w:lvl>
    <w:lvl w:ilvl="6">
      <w:start w:val="1"/>
      <w:numFmt w:val="bullet"/>
      <w:lvlText w:val=""/>
      <w:lvlJc w:val="left"/>
      <w:pPr>
        <w:tabs>
          <w:tab w:val="num" w:pos="207"/>
        </w:tabs>
        <w:ind w:left="207" w:hanging="360"/>
      </w:pPr>
      <w:rPr>
        <w:rFonts w:ascii="Symbol" w:hAnsi="Symbol" w:cs="Symbol" w:hint="default"/>
      </w:rPr>
    </w:lvl>
    <w:lvl w:ilvl="7">
      <w:start w:val="1"/>
      <w:numFmt w:val="bullet"/>
      <w:lvlText w:val="◦"/>
      <w:lvlJc w:val="left"/>
      <w:pPr>
        <w:tabs>
          <w:tab w:val="num" w:pos="567"/>
        </w:tabs>
        <w:ind w:left="567" w:hanging="360"/>
      </w:pPr>
      <w:rPr>
        <w:rFonts w:ascii="OpenSymbol" w:hAnsi="OpenSymbol" w:cs="OpenSymbol" w:hint="default"/>
      </w:rPr>
    </w:lvl>
    <w:lvl w:ilvl="8">
      <w:start w:val="1"/>
      <w:numFmt w:val="bullet"/>
      <w:lvlText w:val=""/>
      <w:lvlJc w:val="left"/>
      <w:pPr>
        <w:tabs>
          <w:tab w:val="num" w:pos="927"/>
        </w:tabs>
        <w:ind w:left="927" w:hanging="360"/>
      </w:pPr>
      <w:rPr>
        <w:rFonts w:ascii="Symbol" w:hAnsi="Symbol" w:cs="Symbol" w:hint="default"/>
      </w:rPr>
    </w:lvl>
  </w:abstractNum>
  <w:abstractNum w:abstractNumId="13">
    <w:lvl w:ilvl="0">
      <w:start w:val="1"/>
      <w:numFmt w:val="bullet"/>
      <w:lvlText w:val=""/>
      <w:lvlJc w:val="left"/>
      <w:pPr>
        <w:ind w:left="-1953" w:hanging="360"/>
      </w:pPr>
      <w:rPr>
        <w:rFonts w:ascii="Symbol" w:hAnsi="Symbol" w:cs="Symbol" w:hint="default"/>
      </w:rPr>
    </w:lvl>
    <w:lvl w:ilvl="1">
      <w:start w:val="1"/>
      <w:numFmt w:val="bullet"/>
      <w:lvlText w:val="◦"/>
      <w:lvlJc w:val="left"/>
      <w:pPr>
        <w:ind w:left="-1593" w:hanging="360"/>
      </w:pPr>
      <w:rPr>
        <w:rFonts w:ascii="OpenSymbol" w:hAnsi="OpenSymbol" w:cs="OpenSymbol" w:hint="default"/>
      </w:rPr>
    </w:lvl>
    <w:lvl w:ilvl="2">
      <w:start w:val="1"/>
      <w:numFmt w:val="bullet"/>
      <w:lvlText w:val="▪"/>
      <w:lvlJc w:val="left"/>
      <w:pPr>
        <w:ind w:left="-1233" w:hanging="360"/>
      </w:pPr>
      <w:rPr>
        <w:rFonts w:ascii="OpenSymbol" w:hAnsi="OpenSymbol" w:cs="OpenSymbol" w:hint="default"/>
      </w:rPr>
    </w:lvl>
    <w:lvl w:ilvl="3">
      <w:start w:val="1"/>
      <w:numFmt w:val="bullet"/>
      <w:lvlText w:val=""/>
      <w:lvlJc w:val="left"/>
      <w:pPr>
        <w:ind w:left="-873" w:hanging="360"/>
      </w:pPr>
      <w:rPr>
        <w:rFonts w:ascii="Symbol" w:hAnsi="Symbol" w:cs="Symbol" w:hint="default"/>
      </w:rPr>
    </w:lvl>
    <w:lvl w:ilvl="4">
      <w:start w:val="1"/>
      <w:numFmt w:val="bullet"/>
      <w:lvlText w:val="◦"/>
      <w:lvlJc w:val="left"/>
      <w:pPr>
        <w:ind w:left="-513" w:hanging="360"/>
      </w:pPr>
      <w:rPr>
        <w:rFonts w:ascii="OpenSymbol" w:hAnsi="OpenSymbol" w:cs="OpenSymbol" w:hint="default"/>
      </w:rPr>
    </w:lvl>
    <w:lvl w:ilvl="5">
      <w:start w:val="1"/>
      <w:numFmt w:val="bullet"/>
      <w:lvlText w:val="▪"/>
      <w:lvlJc w:val="left"/>
      <w:pPr>
        <w:ind w:left="-153" w:hanging="360"/>
      </w:pPr>
      <w:rPr>
        <w:rFonts w:ascii="OpenSymbol" w:hAnsi="OpenSymbol" w:cs="OpenSymbol" w:hint="default"/>
      </w:rPr>
    </w:lvl>
    <w:lvl w:ilvl="6">
      <w:start w:val="1"/>
      <w:numFmt w:val="bullet"/>
      <w:lvlText w:val=""/>
      <w:lvlJc w:val="left"/>
      <w:pPr>
        <w:tabs>
          <w:tab w:val="num" w:pos="207"/>
        </w:tabs>
        <w:ind w:left="207" w:hanging="360"/>
      </w:pPr>
      <w:rPr>
        <w:rFonts w:ascii="Symbol" w:hAnsi="Symbol" w:cs="Symbol" w:hint="default"/>
      </w:rPr>
    </w:lvl>
    <w:lvl w:ilvl="7">
      <w:start w:val="1"/>
      <w:numFmt w:val="bullet"/>
      <w:lvlText w:val="◦"/>
      <w:lvlJc w:val="left"/>
      <w:pPr>
        <w:tabs>
          <w:tab w:val="num" w:pos="567"/>
        </w:tabs>
        <w:ind w:left="567" w:hanging="360"/>
      </w:pPr>
      <w:rPr>
        <w:rFonts w:ascii="OpenSymbol" w:hAnsi="OpenSymbol" w:cs="OpenSymbol" w:hint="default"/>
      </w:rPr>
    </w:lvl>
    <w:lvl w:ilvl="8">
      <w:start w:val="1"/>
      <w:numFmt w:val="bullet"/>
      <w:lvlText w:val=""/>
      <w:lvlJc w:val="left"/>
      <w:pPr>
        <w:tabs>
          <w:tab w:val="num" w:pos="927"/>
        </w:tabs>
        <w:ind w:left="927" w:hanging="360"/>
      </w:pPr>
      <w:rPr>
        <w:rFonts w:ascii="Symbol" w:hAnsi="Symbol" w:cs="Symbol" w:hint="default"/>
      </w:rPr>
    </w:lvl>
  </w:abstractNum>
  <w:abstractNum w:abstractNumId="14">
    <w:lvl w:ilvl="0">
      <w:start w:val="1"/>
      <w:numFmt w:val="bullet"/>
      <w:lvlText w:val=""/>
      <w:lvlJc w:val="left"/>
      <w:pPr>
        <w:ind w:left="-1953" w:hanging="360"/>
      </w:pPr>
      <w:rPr>
        <w:rFonts w:ascii="Symbol" w:hAnsi="Symbol" w:cs="Symbol" w:hint="default"/>
      </w:rPr>
    </w:lvl>
    <w:lvl w:ilvl="1">
      <w:start w:val="1"/>
      <w:numFmt w:val="bullet"/>
      <w:lvlText w:val="◦"/>
      <w:lvlJc w:val="left"/>
      <w:pPr>
        <w:ind w:left="-1593" w:hanging="360"/>
      </w:pPr>
      <w:rPr>
        <w:rFonts w:ascii="OpenSymbol" w:hAnsi="OpenSymbol" w:cs="OpenSymbol" w:hint="default"/>
      </w:rPr>
    </w:lvl>
    <w:lvl w:ilvl="2">
      <w:start w:val="1"/>
      <w:numFmt w:val="bullet"/>
      <w:lvlText w:val="▪"/>
      <w:lvlJc w:val="left"/>
      <w:pPr>
        <w:ind w:left="-1233" w:hanging="360"/>
      </w:pPr>
      <w:rPr>
        <w:rFonts w:ascii="OpenSymbol" w:hAnsi="OpenSymbol" w:cs="OpenSymbol" w:hint="default"/>
      </w:rPr>
    </w:lvl>
    <w:lvl w:ilvl="3">
      <w:start w:val="1"/>
      <w:numFmt w:val="bullet"/>
      <w:lvlText w:val=""/>
      <w:lvlJc w:val="left"/>
      <w:pPr>
        <w:ind w:left="-873" w:hanging="360"/>
      </w:pPr>
      <w:rPr>
        <w:rFonts w:ascii="Symbol" w:hAnsi="Symbol" w:cs="Symbol" w:hint="default"/>
      </w:rPr>
    </w:lvl>
    <w:lvl w:ilvl="4">
      <w:start w:val="1"/>
      <w:numFmt w:val="bullet"/>
      <w:lvlText w:val="◦"/>
      <w:lvlJc w:val="left"/>
      <w:pPr>
        <w:ind w:left="-513" w:hanging="360"/>
      </w:pPr>
      <w:rPr>
        <w:rFonts w:ascii="OpenSymbol" w:hAnsi="OpenSymbol" w:cs="OpenSymbol" w:hint="default"/>
      </w:rPr>
    </w:lvl>
    <w:lvl w:ilvl="5">
      <w:start w:val="1"/>
      <w:numFmt w:val="bullet"/>
      <w:lvlText w:val="▪"/>
      <w:lvlJc w:val="left"/>
      <w:pPr>
        <w:ind w:left="-153" w:hanging="360"/>
      </w:pPr>
      <w:rPr>
        <w:rFonts w:ascii="OpenSymbol" w:hAnsi="OpenSymbol" w:cs="OpenSymbol" w:hint="default"/>
      </w:rPr>
    </w:lvl>
    <w:lvl w:ilvl="6">
      <w:start w:val="1"/>
      <w:numFmt w:val="bullet"/>
      <w:lvlText w:val=""/>
      <w:lvlJc w:val="left"/>
      <w:pPr>
        <w:tabs>
          <w:tab w:val="num" w:pos="207"/>
        </w:tabs>
        <w:ind w:left="207" w:hanging="360"/>
      </w:pPr>
      <w:rPr>
        <w:rFonts w:ascii="Symbol" w:hAnsi="Symbol" w:cs="Symbol" w:hint="default"/>
      </w:rPr>
    </w:lvl>
    <w:lvl w:ilvl="7">
      <w:start w:val="1"/>
      <w:numFmt w:val="bullet"/>
      <w:lvlText w:val="◦"/>
      <w:lvlJc w:val="left"/>
      <w:pPr>
        <w:tabs>
          <w:tab w:val="num" w:pos="567"/>
        </w:tabs>
        <w:ind w:left="567" w:hanging="360"/>
      </w:pPr>
      <w:rPr>
        <w:rFonts w:ascii="OpenSymbol" w:hAnsi="OpenSymbol" w:cs="OpenSymbol" w:hint="default"/>
      </w:rPr>
    </w:lvl>
    <w:lvl w:ilvl="8">
      <w:start w:val="1"/>
      <w:numFmt w:val="bullet"/>
      <w:lvlText w:val=""/>
      <w:lvlJc w:val="left"/>
      <w:pPr>
        <w:tabs>
          <w:tab w:val="num" w:pos="927"/>
        </w:tabs>
        <w:ind w:left="927" w:hanging="360"/>
      </w:pPr>
      <w:rPr>
        <w:rFonts w:ascii="Symbol" w:hAnsi="Symbol" w:cs="Symbol" w:hint="default"/>
      </w:rPr>
    </w:lvl>
  </w:abstractNum>
  <w:abstractNum w:abstractNumId="15">
    <w:lvl w:ilvl="0">
      <w:start w:val="1"/>
      <w:numFmt w:val="bullet"/>
      <w:lvlText w:val=""/>
      <w:lvlJc w:val="left"/>
      <w:pPr>
        <w:ind w:left="-1953" w:hanging="360"/>
      </w:pPr>
      <w:rPr>
        <w:rFonts w:ascii="Symbol" w:hAnsi="Symbol" w:cs="Symbol" w:hint="default"/>
      </w:rPr>
    </w:lvl>
    <w:lvl w:ilvl="1">
      <w:start w:val="1"/>
      <w:numFmt w:val="bullet"/>
      <w:lvlText w:val="◦"/>
      <w:lvlJc w:val="left"/>
      <w:pPr>
        <w:ind w:left="-1593" w:hanging="360"/>
      </w:pPr>
      <w:rPr>
        <w:rFonts w:ascii="OpenSymbol" w:hAnsi="OpenSymbol" w:cs="OpenSymbol" w:hint="default"/>
      </w:rPr>
    </w:lvl>
    <w:lvl w:ilvl="2">
      <w:start w:val="1"/>
      <w:numFmt w:val="bullet"/>
      <w:lvlText w:val="▪"/>
      <w:lvlJc w:val="left"/>
      <w:pPr>
        <w:ind w:left="-1233" w:hanging="360"/>
      </w:pPr>
      <w:rPr>
        <w:rFonts w:ascii="OpenSymbol" w:hAnsi="OpenSymbol" w:cs="OpenSymbol" w:hint="default"/>
      </w:rPr>
    </w:lvl>
    <w:lvl w:ilvl="3">
      <w:start w:val="1"/>
      <w:numFmt w:val="bullet"/>
      <w:lvlText w:val=""/>
      <w:lvlJc w:val="left"/>
      <w:pPr>
        <w:ind w:left="-873" w:hanging="360"/>
      </w:pPr>
      <w:rPr>
        <w:rFonts w:ascii="Symbol" w:hAnsi="Symbol" w:cs="Symbol" w:hint="default"/>
      </w:rPr>
    </w:lvl>
    <w:lvl w:ilvl="4">
      <w:start w:val="1"/>
      <w:numFmt w:val="bullet"/>
      <w:lvlText w:val="◦"/>
      <w:lvlJc w:val="left"/>
      <w:pPr>
        <w:ind w:left="-513" w:hanging="360"/>
      </w:pPr>
      <w:rPr>
        <w:rFonts w:ascii="OpenSymbol" w:hAnsi="OpenSymbol" w:cs="OpenSymbol" w:hint="default"/>
      </w:rPr>
    </w:lvl>
    <w:lvl w:ilvl="5">
      <w:start w:val="1"/>
      <w:numFmt w:val="bullet"/>
      <w:lvlText w:val="▪"/>
      <w:lvlJc w:val="left"/>
      <w:pPr>
        <w:ind w:left="-153" w:hanging="360"/>
      </w:pPr>
      <w:rPr>
        <w:rFonts w:ascii="OpenSymbol" w:hAnsi="OpenSymbol" w:cs="OpenSymbol" w:hint="default"/>
      </w:rPr>
    </w:lvl>
    <w:lvl w:ilvl="6">
      <w:start w:val="1"/>
      <w:numFmt w:val="bullet"/>
      <w:lvlText w:val=""/>
      <w:lvlJc w:val="left"/>
      <w:pPr>
        <w:tabs>
          <w:tab w:val="num" w:pos="207"/>
        </w:tabs>
        <w:ind w:left="207" w:hanging="360"/>
      </w:pPr>
      <w:rPr>
        <w:rFonts w:ascii="Symbol" w:hAnsi="Symbol" w:cs="Symbol" w:hint="default"/>
      </w:rPr>
    </w:lvl>
    <w:lvl w:ilvl="7">
      <w:start w:val="1"/>
      <w:numFmt w:val="bullet"/>
      <w:lvlText w:val="◦"/>
      <w:lvlJc w:val="left"/>
      <w:pPr>
        <w:tabs>
          <w:tab w:val="num" w:pos="567"/>
        </w:tabs>
        <w:ind w:left="567" w:hanging="360"/>
      </w:pPr>
      <w:rPr>
        <w:rFonts w:ascii="OpenSymbol" w:hAnsi="OpenSymbol" w:cs="OpenSymbol" w:hint="default"/>
      </w:rPr>
    </w:lvl>
    <w:lvl w:ilvl="8">
      <w:start w:val="1"/>
      <w:numFmt w:val="bullet"/>
      <w:lvlText w:val=""/>
      <w:lvlJc w:val="left"/>
      <w:pPr>
        <w:tabs>
          <w:tab w:val="num" w:pos="927"/>
        </w:tabs>
        <w:ind w:left="927" w:hanging="360"/>
      </w:pPr>
      <w:rPr>
        <w:rFonts w:ascii="Symbol" w:hAnsi="Symbol" w:cs="Symbol"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isplayBackgroundShape/>
  <w:mirrorMargins/>
  <w:embedSystemFonts/>
  <w:defaultTabStop w:val="56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3ccc"/>
    <w:pPr>
      <w:widowControl/>
      <w:suppressAutoHyphens w:val="true"/>
      <w:bidi w:val="0"/>
      <w:spacing w:before="120" w:after="0"/>
      <w:jc w:val="left"/>
    </w:pPr>
    <w:rPr>
      <w:rFonts w:ascii="Arial" w:hAnsi="Arial" w:eastAsia="Arial Unicode MS" w:cs="Arial"/>
      <w:color w:val="auto"/>
      <w:kern w:val="2"/>
      <w:sz w:val="22"/>
      <w:szCs w:val="24"/>
      <w:lang w:val="en-GB" w:eastAsia="en-GB" w:bidi="ar-SA"/>
    </w:rPr>
  </w:style>
  <w:style w:type="paragraph" w:styleId="Heading1">
    <w:name w:val="Heading 1"/>
    <w:basedOn w:val="Heading"/>
    <w:next w:val="TextBody"/>
    <w:link w:val="Heading1Char"/>
    <w:qFormat/>
    <w:rsid w:val="004e291d"/>
    <w:pPr>
      <w:numPr>
        <w:ilvl w:val="0"/>
        <w:numId w:val="5"/>
      </w:numPr>
      <w:spacing w:before="360" w:after="0"/>
      <w:outlineLvl w:val="0"/>
    </w:pPr>
    <w:rPr>
      <w:bCs/>
      <w:sz w:val="36"/>
      <w:szCs w:val="32"/>
    </w:rPr>
  </w:style>
  <w:style w:type="paragraph" w:styleId="Heading2">
    <w:name w:val="Heading 2"/>
    <w:basedOn w:val="Heading"/>
    <w:next w:val="TextBody"/>
    <w:qFormat/>
    <w:rsid w:val="00cf168d"/>
    <w:pPr>
      <w:numPr>
        <w:ilvl w:val="1"/>
        <w:numId w:val="5"/>
      </w:numPr>
      <w:tabs>
        <w:tab w:val="clear" w:pos="567"/>
      </w:tabs>
      <w:spacing w:before="240" w:after="0"/>
      <w:ind w:left="567" w:hanging="567"/>
      <w:outlineLvl w:val="1"/>
    </w:pPr>
    <w:rPr>
      <w:bCs/>
      <w:i/>
      <w:iCs/>
      <w:sz w:val="28"/>
    </w:rPr>
  </w:style>
  <w:style w:type="paragraph" w:styleId="Heading3">
    <w:name w:val="Heading 3"/>
    <w:basedOn w:val="Heading"/>
    <w:next w:val="TextBody"/>
    <w:qFormat/>
    <w:rsid w:val="00ff415b"/>
    <w:pPr>
      <w:numPr>
        <w:ilvl w:val="2"/>
        <w:numId w:val="5"/>
      </w:numPr>
      <w:spacing w:before="240" w:after="0"/>
      <w:outlineLvl w:val="2"/>
    </w:pPr>
    <w:rPr>
      <w:bCs/>
      <w:i/>
      <w:sz w:val="24"/>
      <w:szCs w:val="24"/>
    </w:rPr>
  </w:style>
  <w:style w:type="paragraph" w:styleId="Heading8">
    <w:name w:val="Heading 8"/>
    <w:basedOn w:val="Normal"/>
    <w:next w:val="Normal"/>
    <w:link w:val="Heading8Char"/>
    <w:uiPriority w:val="9"/>
    <w:semiHidden/>
    <w:unhideWhenUsed/>
    <w:qFormat/>
    <w:rsid w:val="005a1aed"/>
    <w:pPr>
      <w:keepNext w:val="true"/>
      <w:keepLines/>
      <w:spacing w:before="200" w:after="0"/>
      <w:outlineLvl w:val="7"/>
    </w:pPr>
    <w:rPr>
      <w:rFonts w:ascii="Cambria" w:hAnsi="Cambria" w:eastAsia="" w:c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5a1aed"/>
    <w:pPr>
      <w:keepNext w:val="true"/>
      <w:keepLines/>
      <w:spacing w:before="200" w:after="0"/>
      <w:outlineLvl w:val="8"/>
    </w:pPr>
    <w:rPr>
      <w:rFonts w:ascii="Cambria" w:hAnsi="Cambria" w:eastAsia=""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Bullets" w:customStyle="1">
    <w:name w:val="Bullets"/>
    <w:qFormat/>
    <w:rPr>
      <w:rFonts w:ascii="OpenSymbol" w:hAnsi="OpenSymbol" w:eastAsia="OpenSymbol" w:cs="OpenSymbol"/>
    </w:rPr>
  </w:style>
  <w:style w:type="character" w:styleId="Subhead3" w:customStyle="1">
    <w:name w:val="subhead3"/>
    <w:basedOn w:val="DefaultParagraphFont"/>
    <w:qFormat/>
    <w:rPr/>
  </w:style>
  <w:style w:type="character" w:styleId="WW8Num5z1" w:customStyle="1">
    <w:name w:val="WW8Num5z1"/>
    <w:qFormat/>
    <w:rPr>
      <w:rFonts w:ascii="Courier New" w:hAnsi="Courier New"/>
    </w:rPr>
  </w:style>
  <w:style w:type="character" w:styleId="WW8Num5z2" w:customStyle="1">
    <w:name w:val="WW8Num5z2"/>
    <w:qFormat/>
    <w:rPr>
      <w:rFonts w:ascii="Wingdings" w:hAnsi="Wingdings"/>
    </w:rPr>
  </w:style>
  <w:style w:type="character" w:styleId="WW8Num5z0" w:customStyle="1">
    <w:name w:val="WW8Num5z0"/>
    <w:qFormat/>
    <w:rPr>
      <w:rFonts w:ascii="Symbol" w:hAnsi="Symbol"/>
    </w:rPr>
  </w:style>
  <w:style w:type="character" w:styleId="InternetLink">
    <w:name w:val="Hyperlink"/>
    <w:uiPriority w:val="99"/>
    <w:rPr>
      <w:color w:val="000080"/>
      <w:u w:val="single"/>
    </w:rPr>
  </w:style>
  <w:style w:type="character" w:styleId="BalloonTextChar" w:customStyle="1">
    <w:name w:val="Balloon Text Char"/>
    <w:basedOn w:val="DefaultParagraphFont"/>
    <w:link w:val="BalloonText"/>
    <w:uiPriority w:val="99"/>
    <w:semiHidden/>
    <w:qFormat/>
    <w:rsid w:val="008d07c4"/>
    <w:rPr>
      <w:rFonts w:ascii="Tahoma" w:hAnsi="Tahoma" w:eastAsia="Arial Unicode MS" w:cs="Tahoma"/>
      <w:kern w:val="2"/>
      <w:sz w:val="16"/>
      <w:szCs w:val="16"/>
    </w:rPr>
  </w:style>
  <w:style w:type="character" w:styleId="TitleChar" w:customStyle="1">
    <w:name w:val="Title Char"/>
    <w:basedOn w:val="DefaultParagraphFont"/>
    <w:link w:val="Title"/>
    <w:uiPriority w:val="10"/>
    <w:qFormat/>
    <w:rsid w:val="005b1c9d"/>
    <w:rPr>
      <w:rFonts w:ascii="Arial" w:hAnsi="Arial" w:eastAsia="Arial Unicode MS" w:cs="Tahoma"/>
      <w:b/>
      <w:color w:val="579D1C"/>
      <w:kern w:val="2"/>
      <w:sz w:val="48"/>
      <w:szCs w:val="28"/>
    </w:rPr>
  </w:style>
  <w:style w:type="character" w:styleId="TickListChar" w:customStyle="1">
    <w:name w:val="TickList Char"/>
    <w:basedOn w:val="DefaultParagraphFont"/>
    <w:link w:val="TickList"/>
    <w:qFormat/>
    <w:rsid w:val="001135ed"/>
    <w:rPr>
      <w:rFonts w:ascii="Arial" w:hAnsi="Arial" w:eastAsia="Arial Unicode MS" w:cs="Arial"/>
      <w:kern w:val="2"/>
      <w:sz w:val="22"/>
      <w:szCs w:val="24"/>
    </w:rPr>
  </w:style>
  <w:style w:type="character" w:styleId="BulletLevel0Char" w:customStyle="1">
    <w:name w:val="BulletLevel-0 Char"/>
    <w:basedOn w:val="DefaultParagraphFont"/>
    <w:link w:val="BulletLevel0"/>
    <w:qFormat/>
    <w:rsid w:val="004e291d"/>
    <w:rPr>
      <w:rFonts w:ascii="Arial" w:hAnsi="Arial" w:eastAsia="Arial Unicode MS" w:cs="Arial"/>
      <w:bCs/>
      <w:kern w:val="2"/>
      <w:sz w:val="22"/>
      <w:szCs w:val="24"/>
    </w:rPr>
  </w:style>
  <w:style w:type="character" w:styleId="Dsgvotitle" w:customStyle="1">
    <w:name w:val="dsgvo-title"/>
    <w:basedOn w:val="DefaultParagraphFont"/>
    <w:qFormat/>
    <w:rsid w:val="00d3237b"/>
    <w:rPr/>
  </w:style>
  <w:style w:type="character" w:styleId="Norm0NumChar" w:customStyle="1">
    <w:name w:val="Norm0-Num Char"/>
    <w:basedOn w:val="DefaultParagraphFont"/>
    <w:link w:val="Norm0Num"/>
    <w:qFormat/>
    <w:rsid w:val="00b00d11"/>
    <w:rPr>
      <w:rFonts w:ascii="Arial" w:hAnsi="Arial" w:eastAsia="Arial Unicode MS" w:cs="Arial"/>
      <w:kern w:val="2"/>
      <w:sz w:val="22"/>
      <w:szCs w:val="24"/>
    </w:rPr>
  </w:style>
  <w:style w:type="character" w:styleId="Boldnumber" w:customStyle="1">
    <w:name w:val="bold-number"/>
    <w:basedOn w:val="DefaultParagraphFont"/>
    <w:qFormat/>
    <w:rsid w:val="00d3237b"/>
    <w:rPr/>
  </w:style>
  <w:style w:type="character" w:styleId="NormalNumberedChar" w:customStyle="1">
    <w:name w:val="NormalNumbered Char"/>
    <w:basedOn w:val="DefaultParagraphFont"/>
    <w:link w:val="NormalNumbered"/>
    <w:qFormat/>
    <w:rsid w:val="00b823ab"/>
    <w:rPr>
      <w:rFonts w:ascii="Arial" w:hAnsi="Arial" w:eastAsia="Arial Unicode MS" w:cs="Arial"/>
      <w:kern w:val="2"/>
      <w:sz w:val="22"/>
      <w:szCs w:val="22"/>
    </w:rPr>
  </w:style>
  <w:style w:type="character" w:styleId="ListParagraphChar" w:customStyle="1">
    <w:name w:val="List Paragraph Char"/>
    <w:basedOn w:val="DefaultParagraphFont"/>
    <w:link w:val="ListParagraph"/>
    <w:uiPriority w:val="34"/>
    <w:qFormat/>
    <w:rsid w:val="00b823ab"/>
    <w:rPr>
      <w:rFonts w:ascii="Arial" w:hAnsi="Arial" w:eastAsia="Arial Unicode MS" w:cs="Arial"/>
      <w:kern w:val="2"/>
      <w:sz w:val="22"/>
      <w:szCs w:val="24"/>
    </w:rPr>
  </w:style>
  <w:style w:type="character" w:styleId="Normal1NumberedChar" w:customStyle="1">
    <w:name w:val="Normal-1-Numbered Char"/>
    <w:basedOn w:val="ListParagraphChar"/>
    <w:link w:val="Normal1Numbered"/>
    <w:qFormat/>
    <w:rsid w:val="00b823ab"/>
    <w:rPr>
      <w:rFonts w:ascii="Arial" w:hAnsi="Arial" w:eastAsia="Arial Unicode MS" w:cs="Arial"/>
      <w:kern w:val="2"/>
      <w:sz w:val="22"/>
      <w:szCs w:val="22"/>
    </w:rPr>
  </w:style>
  <w:style w:type="character" w:styleId="Heading8Char" w:customStyle="1">
    <w:name w:val="Heading 8 Char"/>
    <w:basedOn w:val="DefaultParagraphFont"/>
    <w:link w:val="Heading8"/>
    <w:uiPriority w:val="9"/>
    <w:semiHidden/>
    <w:qFormat/>
    <w:rsid w:val="005a1aed"/>
    <w:rPr>
      <w:rFonts w:ascii="Cambria" w:hAnsi="Cambria" w:eastAsia="" w:cs="" w:asciiTheme="majorHAnsi" w:cstheme="majorBidi" w:eastAsiaTheme="majorEastAsia" w:hAnsiTheme="majorHAnsi"/>
      <w:color w:val="404040" w:themeColor="text1" w:themeTint="bf"/>
      <w:kern w:val="2"/>
    </w:rPr>
  </w:style>
  <w:style w:type="character" w:styleId="Norm1NumChar" w:customStyle="1">
    <w:name w:val="Norm1-Num Char"/>
    <w:basedOn w:val="Normal1NumberedChar"/>
    <w:link w:val="Norm1Num"/>
    <w:qFormat/>
    <w:rsid w:val="004e291d"/>
    <w:rPr>
      <w:rFonts w:ascii="Arial" w:hAnsi="Arial" w:eastAsia="Arial Unicode MS" w:cs="Arial"/>
      <w:kern w:val="2"/>
      <w:sz w:val="22"/>
      <w:szCs w:val="22"/>
    </w:rPr>
  </w:style>
  <w:style w:type="character" w:styleId="Heading9Char" w:customStyle="1">
    <w:name w:val="Heading 9 Char"/>
    <w:basedOn w:val="DefaultParagraphFont"/>
    <w:link w:val="Heading9"/>
    <w:uiPriority w:val="9"/>
    <w:semiHidden/>
    <w:qFormat/>
    <w:rsid w:val="005a1aed"/>
    <w:rPr>
      <w:rFonts w:ascii="Cambria" w:hAnsi="Cambria" w:eastAsia="" w:cs="" w:asciiTheme="majorHAnsi" w:cstheme="majorBidi" w:eastAsiaTheme="majorEastAsia" w:hAnsiTheme="majorHAnsi"/>
      <w:i/>
      <w:iCs/>
      <w:color w:val="404040" w:themeColor="text1" w:themeTint="bf"/>
      <w:kern w:val="2"/>
    </w:rPr>
  </w:style>
  <w:style w:type="character" w:styleId="Norm1Char" w:customStyle="1">
    <w:name w:val="Norm1 Char"/>
    <w:basedOn w:val="Norm0NumChar"/>
    <w:link w:val="Norm1"/>
    <w:qFormat/>
    <w:rsid w:val="00e56520"/>
    <w:rPr>
      <w:rFonts w:ascii="Arial" w:hAnsi="Arial" w:eastAsia="Arial Unicode MS" w:cs="Arial"/>
      <w:kern w:val="2"/>
      <w:sz w:val="22"/>
      <w:szCs w:val="24"/>
    </w:rPr>
  </w:style>
  <w:style w:type="character" w:styleId="HeadingChar" w:customStyle="1">
    <w:name w:val="Heading Char"/>
    <w:basedOn w:val="DefaultParagraphFont"/>
    <w:link w:val="Heading"/>
    <w:qFormat/>
    <w:rsid w:val="0066546d"/>
    <w:rPr>
      <w:rFonts w:ascii="Arial" w:hAnsi="Arial" w:eastAsia="Arial Unicode MS" w:cs="Tahoma"/>
      <w:b/>
      <w:color w:val="579D1C"/>
      <w:kern w:val="2"/>
      <w:sz w:val="48"/>
      <w:szCs w:val="28"/>
    </w:rPr>
  </w:style>
  <w:style w:type="character" w:styleId="Heading1Char" w:customStyle="1">
    <w:name w:val="Heading 1 Char"/>
    <w:basedOn w:val="HeadingChar"/>
    <w:link w:val="Heading1"/>
    <w:qFormat/>
    <w:rsid w:val="004e291d"/>
    <w:rPr>
      <w:rFonts w:ascii="Arial" w:hAnsi="Arial" w:eastAsia="Arial Unicode MS" w:cs="Tahoma"/>
      <w:b/>
      <w:bCs/>
      <w:color w:val="579D1C"/>
      <w:kern w:val="2"/>
      <w:sz w:val="36"/>
      <w:szCs w:val="32"/>
    </w:rPr>
  </w:style>
  <w:style w:type="character" w:styleId="Heading0Char" w:customStyle="1">
    <w:name w:val="Heading 0 Char"/>
    <w:basedOn w:val="Heading1Char"/>
    <w:link w:val="Heading0"/>
    <w:qFormat/>
    <w:rsid w:val="0063324a"/>
    <w:rPr>
      <w:rFonts w:ascii="Arial" w:hAnsi="Arial" w:eastAsia="Arial Unicode MS" w:cs="Tahoma"/>
      <w:b/>
      <w:bCs/>
      <w:color w:val="579D1C"/>
      <w:kern w:val="2"/>
      <w:sz w:val="36"/>
      <w:szCs w:val="32"/>
    </w:rPr>
  </w:style>
  <w:style w:type="character" w:styleId="St" w:customStyle="1">
    <w:name w:val="st"/>
    <w:basedOn w:val="DefaultParagraphFont"/>
    <w:qFormat/>
    <w:rsid w:val="00e32f9b"/>
    <w:rPr/>
  </w:style>
  <w:style w:type="character" w:styleId="UnresolvedMention">
    <w:name w:val="Unresolved Mention"/>
    <w:basedOn w:val="DefaultParagraphFont"/>
    <w:uiPriority w:val="99"/>
    <w:semiHidden/>
    <w:unhideWhenUsed/>
    <w:qFormat/>
    <w:rsid w:val="00676595"/>
    <w:rPr>
      <w:color w:val="605E5C"/>
      <w:shd w:fill="E1DFDD" w:val="clear"/>
    </w:rPr>
  </w:style>
  <w:style w:type="character" w:styleId="Hw" w:customStyle="1">
    <w:name w:val="hw"/>
    <w:basedOn w:val="DefaultParagraphFont"/>
    <w:qFormat/>
    <w:rsid w:val="006c095f"/>
    <w:rPr/>
  </w:style>
  <w:style w:type="character" w:styleId="VisitedInternetLink">
    <w:name w:val="FollowedHyperlink"/>
    <w:basedOn w:val="DefaultParagraphFont"/>
    <w:uiPriority w:val="99"/>
    <w:semiHidden/>
    <w:unhideWhenUsed/>
    <w:rsid w:val="00804df4"/>
    <w:rPr>
      <w:color w:val="800080" w:themeColor="followedHyperlink"/>
      <w:u w:val="single"/>
    </w:rPr>
  </w:style>
  <w:style w:type="character" w:styleId="IndexLink">
    <w:name w:val="Index Link"/>
    <w:qFormat/>
    <w:rPr/>
  </w:style>
  <w:style w:type="paragraph" w:styleId="Heading" w:customStyle="1">
    <w:name w:val="Heading"/>
    <w:basedOn w:val="Normal"/>
    <w:next w:val="TextBody"/>
    <w:link w:val="HeadingChar"/>
    <w:qFormat/>
    <w:pPr>
      <w:keepNext w:val="true"/>
      <w:spacing w:before="170" w:after="113"/>
    </w:pPr>
    <w:rPr>
      <w:rFonts w:cs="Tahoma"/>
      <w:b/>
      <w:color w:val="579D1C"/>
      <w:sz w:val="48"/>
      <w:szCs w:val="28"/>
    </w:rPr>
  </w:style>
  <w:style w:type="paragraph" w:styleId="TextBody">
    <w:name w:val="Body Text"/>
    <w:basedOn w:val="Normal"/>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HeaderandFooter">
    <w:name w:val="Header and Footer"/>
    <w:basedOn w:val="Normal"/>
    <w:qFormat/>
    <w:pPr/>
    <w:rPr/>
  </w:style>
  <w:style w:type="paragraph" w:styleId="Header">
    <w:name w:val="Header"/>
    <w:basedOn w:val="Normal"/>
    <w:pPr>
      <w:suppressLineNumbers/>
      <w:tabs>
        <w:tab w:val="clear" w:pos="567"/>
        <w:tab w:val="center" w:pos="4818" w:leader="none"/>
        <w:tab w:val="right" w:pos="9637" w:leader="none"/>
      </w:tabs>
    </w:pPr>
    <w:rPr/>
  </w:style>
  <w:style w:type="paragraph" w:styleId="Footer">
    <w:name w:val="Footer"/>
    <w:basedOn w:val="Normal"/>
    <w:pPr>
      <w:suppressLineNumbers/>
      <w:tabs>
        <w:tab w:val="clear" w:pos="567"/>
        <w:tab w:val="center" w:pos="4818" w:leader="none"/>
        <w:tab w:val="right" w:pos="9637" w:leader="none"/>
      </w:tabs>
      <w:jc w:val="center"/>
    </w:pPr>
    <w:rPr>
      <w:i/>
      <w:iCs/>
      <w:color w:val="579D1C"/>
      <w:sz w:val="16"/>
      <w:szCs w:val="16"/>
    </w:rPr>
  </w:style>
  <w:style w:type="paragraph" w:styleId="TableContents" w:customStyle="1">
    <w:name w:val="Table Contents"/>
    <w:basedOn w:val="Normal"/>
    <w:qFormat/>
    <w:pPr>
      <w:suppressLineNumbers/>
    </w:pPr>
    <w:rPr/>
  </w:style>
  <w:style w:type="paragraph" w:styleId="Textbodybullet" w:customStyle="1">
    <w:name w:val="Text body bullet"/>
    <w:basedOn w:val="TextBody"/>
    <w:qFormat/>
    <w:pPr>
      <w:spacing w:before="28" w:after="28"/>
    </w:pPr>
    <w:rPr/>
  </w:style>
  <w:style w:type="paragraph" w:styleId="TableHeading" w:customStyle="1">
    <w:name w:val="Table Heading"/>
    <w:basedOn w:val="TableContents"/>
    <w:qFormat/>
    <w:pPr>
      <w:jc w:val="center"/>
    </w:pPr>
    <w:rPr>
      <w:b/>
      <w:bCs/>
    </w:rPr>
  </w:style>
  <w:style w:type="paragraph" w:styleId="BalloonText">
    <w:name w:val="Balloon Text"/>
    <w:basedOn w:val="Normal"/>
    <w:link w:val="BalloonTextChar"/>
    <w:uiPriority w:val="99"/>
    <w:semiHidden/>
    <w:unhideWhenUsed/>
    <w:qFormat/>
    <w:rsid w:val="008d07c4"/>
    <w:pPr/>
    <w:rPr>
      <w:rFonts w:ascii="Tahoma" w:hAnsi="Tahoma" w:cs="Tahoma"/>
      <w:sz w:val="16"/>
      <w:szCs w:val="16"/>
    </w:rPr>
  </w:style>
  <w:style w:type="paragraph" w:styleId="ListParagraph">
    <w:name w:val="List Paragraph"/>
    <w:basedOn w:val="Normal"/>
    <w:link w:val="ListParagraphChar"/>
    <w:uiPriority w:val="34"/>
    <w:qFormat/>
    <w:rsid w:val="008b1622"/>
    <w:pPr>
      <w:spacing w:before="120" w:after="0"/>
      <w:ind w:left="720" w:hanging="0"/>
      <w:contextualSpacing/>
    </w:pPr>
    <w:rPr/>
  </w:style>
  <w:style w:type="paragraph" w:styleId="Title">
    <w:name w:val="Title"/>
    <w:basedOn w:val="Heading"/>
    <w:next w:val="Normal"/>
    <w:link w:val="TitleChar"/>
    <w:uiPriority w:val="10"/>
    <w:qFormat/>
    <w:rsid w:val="005b1c9d"/>
    <w:pPr>
      <w:spacing w:before="240" w:after="0"/>
      <w:jc w:val="center"/>
    </w:pPr>
    <w:rPr/>
  </w:style>
  <w:style w:type="paragraph" w:styleId="TickList" w:customStyle="1">
    <w:name w:val="TickList"/>
    <w:basedOn w:val="Textbodybullet"/>
    <w:link w:val="TickListChar"/>
    <w:qFormat/>
    <w:rsid w:val="001135ed"/>
    <w:pPr>
      <w:numPr>
        <w:ilvl w:val="0"/>
        <w:numId w:val="1"/>
      </w:numPr>
      <w:spacing w:before="60" w:after="0"/>
      <w:ind w:left="850" w:hanging="425"/>
    </w:pPr>
    <w:rPr/>
  </w:style>
  <w:style w:type="paragraph" w:styleId="NormalWeb">
    <w:name w:val="Normal (Web)"/>
    <w:basedOn w:val="Normal"/>
    <w:uiPriority w:val="99"/>
    <w:unhideWhenUsed/>
    <w:qFormat/>
    <w:rsid w:val="000a06d2"/>
    <w:pPr>
      <w:suppressAutoHyphens w:val="false"/>
      <w:spacing w:beforeAutospacing="1" w:afterAutospacing="1"/>
    </w:pPr>
    <w:rPr>
      <w:rFonts w:ascii="Times New Roman" w:hAnsi="Times New Roman" w:eastAsia="Times New Roman" w:cs="Times New Roman"/>
      <w:kern w:val="0"/>
      <w:sz w:val="24"/>
    </w:rPr>
  </w:style>
  <w:style w:type="paragraph" w:styleId="BulletLevel0" w:customStyle="1">
    <w:name w:val="BulletLevel-0"/>
    <w:basedOn w:val="Normal"/>
    <w:link w:val="BulletLevel0Char"/>
    <w:qFormat/>
    <w:rsid w:val="004e291d"/>
    <w:pPr>
      <w:numPr>
        <w:ilvl w:val="0"/>
        <w:numId w:val="2"/>
      </w:numPr>
      <w:tabs>
        <w:tab w:val="clear" w:pos="567"/>
      </w:tabs>
      <w:suppressAutoHyphens w:val="false"/>
      <w:spacing w:before="80" w:after="0"/>
      <w:ind w:left="1134" w:hanging="425"/>
    </w:pPr>
    <w:rPr>
      <w:bCs/>
    </w:rPr>
  </w:style>
  <w:style w:type="paragraph" w:styleId="Norm0Num" w:customStyle="1">
    <w:name w:val="Norm0-Num"/>
    <w:link w:val="Norm0NumChar"/>
    <w:qFormat/>
    <w:rsid w:val="00b00d11"/>
    <w:pPr>
      <w:widowControl/>
      <w:numPr>
        <w:ilvl w:val="7"/>
        <w:numId w:val="5"/>
      </w:numPr>
      <w:suppressAutoHyphens w:val="true"/>
      <w:bidi w:val="0"/>
      <w:spacing w:before="80" w:after="0"/>
      <w:jc w:val="left"/>
    </w:pPr>
    <w:rPr>
      <w:rFonts w:ascii="Arial" w:hAnsi="Arial" w:eastAsia="Arial Unicode MS" w:cs="Arial"/>
      <w:color w:val="auto"/>
      <w:kern w:val="2"/>
      <w:sz w:val="22"/>
      <w:szCs w:val="24"/>
      <w:lang w:val="en-GB" w:eastAsia="en-GB" w:bidi="ar-SA"/>
    </w:rPr>
  </w:style>
  <w:style w:type="paragraph" w:styleId="NormalNumbered" w:customStyle="1">
    <w:name w:val="NormalNumbered"/>
    <w:basedOn w:val="Normal"/>
    <w:link w:val="NormalNumberedChar"/>
    <w:qFormat/>
    <w:rsid w:val="00b823ab"/>
    <w:pPr>
      <w:numPr>
        <w:ilvl w:val="0"/>
        <w:numId w:val="3"/>
      </w:numPr>
      <w:suppressAutoHyphens w:val="false"/>
    </w:pPr>
    <w:rPr>
      <w:szCs w:val="22"/>
    </w:rPr>
  </w:style>
  <w:style w:type="paragraph" w:styleId="Normal1Numbered" w:customStyle="1">
    <w:name w:val="Normal-1-Numbered"/>
    <w:basedOn w:val="ListParagraph"/>
    <w:link w:val="Normal1NumberedChar"/>
    <w:qFormat/>
    <w:rsid w:val="00b823ab"/>
    <w:pPr>
      <w:numPr>
        <w:ilvl w:val="1"/>
        <w:numId w:val="4"/>
      </w:numPr>
      <w:suppressAutoHyphens w:val="false"/>
      <w:spacing w:before="80" w:after="0"/>
      <w:contextualSpacing w:val="false"/>
    </w:pPr>
    <w:rPr>
      <w:szCs w:val="22"/>
    </w:rPr>
  </w:style>
  <w:style w:type="paragraph" w:styleId="Norm1Num" w:customStyle="1">
    <w:name w:val="Norm1-Num"/>
    <w:basedOn w:val="Normal1Numbered"/>
    <w:link w:val="Norm1NumChar"/>
    <w:qFormat/>
    <w:rsid w:val="004e291d"/>
    <w:pPr>
      <w:numPr>
        <w:ilvl w:val="8"/>
        <w:numId w:val="5"/>
      </w:numPr>
    </w:pPr>
    <w:rPr/>
  </w:style>
  <w:style w:type="paragraph" w:styleId="Norm1" w:customStyle="1">
    <w:name w:val="Norm1"/>
    <w:basedOn w:val="Norm0Num"/>
    <w:link w:val="Norm1Char"/>
    <w:qFormat/>
    <w:rsid w:val="00e56520"/>
    <w:pPr>
      <w:numPr>
        <w:ilvl w:val="0"/>
        <w:numId w:val="0"/>
      </w:numPr>
      <w:ind w:left="567" w:hanging="0"/>
    </w:pPr>
    <w:rPr/>
  </w:style>
  <w:style w:type="paragraph" w:styleId="Norm0" w:customStyle="1">
    <w:name w:val="Norm0"/>
    <w:basedOn w:val="Normal"/>
    <w:qFormat/>
    <w:rsid w:val="003a710a"/>
    <w:pPr/>
    <w:rPr/>
  </w:style>
  <w:style w:type="paragraph" w:styleId="Heading0" w:customStyle="1">
    <w:name w:val="Heading 0"/>
    <w:basedOn w:val="Heading1"/>
    <w:link w:val="Heading0Char"/>
    <w:qFormat/>
    <w:rsid w:val="0063324a"/>
    <w:pPr>
      <w:numPr>
        <w:ilvl w:val="0"/>
        <w:numId w:val="0"/>
      </w:numPr>
      <w:ind w:left="1843" w:hanging="1843"/>
    </w:pPr>
    <w:rPr/>
  </w:style>
  <w:style w:type="paragraph" w:styleId="IndexHeading">
    <w:name w:val="Index Heading"/>
    <w:basedOn w:val="Heading"/>
    <w:pPr/>
    <w:rPr/>
  </w:style>
  <w:style w:type="paragraph" w:styleId="ContentsHeading">
    <w:name w:val="TOC Heading"/>
    <w:basedOn w:val="Heading1"/>
    <w:next w:val="Normal"/>
    <w:uiPriority w:val="39"/>
    <w:unhideWhenUsed/>
    <w:qFormat/>
    <w:rsid w:val="00e26465"/>
    <w:pPr>
      <w:keepLines/>
      <w:numPr>
        <w:ilvl w:val="0"/>
        <w:numId w:val="0"/>
      </w:numPr>
      <w:suppressAutoHyphens w:val="false"/>
      <w:spacing w:lineRule="auto" w:line="276" w:before="480" w:after="0"/>
      <w:outlineLvl w:val="9"/>
    </w:pPr>
    <w:rPr>
      <w:rFonts w:ascii="Cambria" w:hAnsi="Cambria" w:eastAsia="" w:cs="" w:asciiTheme="majorHAnsi" w:cstheme="majorBidi" w:eastAsiaTheme="majorEastAsia" w:hAnsiTheme="majorHAnsi"/>
      <w:color w:val="365F91" w:themeColor="accent1" w:themeShade="bf"/>
      <w:kern w:val="0"/>
      <w:sz w:val="28"/>
      <w:szCs w:val="28"/>
      <w:lang w:val="en-US" w:eastAsia="ja-JP"/>
    </w:rPr>
  </w:style>
  <w:style w:type="paragraph" w:styleId="Contents2">
    <w:name w:val="TOC 2"/>
    <w:basedOn w:val="Normal"/>
    <w:next w:val="Normal"/>
    <w:autoRedefine/>
    <w:uiPriority w:val="39"/>
    <w:unhideWhenUsed/>
    <w:qFormat/>
    <w:rsid w:val="00ff415b"/>
    <w:pPr>
      <w:tabs>
        <w:tab w:val="clear" w:pos="567"/>
        <w:tab w:val="right" w:pos="9639" w:leader="dot"/>
      </w:tabs>
      <w:suppressAutoHyphens w:val="false"/>
      <w:spacing w:before="0" w:after="0"/>
      <w:ind w:left="1701" w:hanging="709"/>
    </w:pPr>
    <w:rPr>
      <w:rFonts w:eastAsia="" w:eastAsiaTheme="minorEastAsia"/>
      <w:kern w:val="0"/>
      <w:szCs w:val="22"/>
      <w:lang w:val="en-US" w:eastAsia="ja-JP"/>
    </w:rPr>
  </w:style>
  <w:style w:type="paragraph" w:styleId="Contents1">
    <w:name w:val="TOC 1"/>
    <w:basedOn w:val="Normal"/>
    <w:next w:val="Normal"/>
    <w:autoRedefine/>
    <w:uiPriority w:val="39"/>
    <w:unhideWhenUsed/>
    <w:qFormat/>
    <w:rsid w:val="009b2e39"/>
    <w:pPr>
      <w:tabs>
        <w:tab w:val="clear" w:pos="567"/>
        <w:tab w:val="left" w:pos="993" w:leader="none"/>
        <w:tab w:val="left" w:pos="1701" w:leader="none"/>
        <w:tab w:val="right" w:pos="9498" w:leader="dot"/>
      </w:tabs>
      <w:suppressAutoHyphens w:val="false"/>
      <w:spacing w:before="80" w:after="0"/>
      <w:ind w:left="1701" w:right="709" w:hanging="1134"/>
    </w:pPr>
    <w:rPr>
      <w:rFonts w:eastAsia="" w:eastAsiaTheme="minorEastAsia"/>
      <w:kern w:val="0"/>
      <w:sz w:val="24"/>
      <w:lang w:val="en-US" w:eastAsia="ja-JP"/>
    </w:rPr>
  </w:style>
  <w:style w:type="paragraph" w:styleId="Contents3">
    <w:name w:val="TOC 3"/>
    <w:basedOn w:val="Normal"/>
    <w:next w:val="Normal"/>
    <w:autoRedefine/>
    <w:uiPriority w:val="39"/>
    <w:unhideWhenUsed/>
    <w:qFormat/>
    <w:rsid w:val="009a1de8"/>
    <w:pPr>
      <w:tabs>
        <w:tab w:val="clear" w:pos="567"/>
        <w:tab w:val="left" w:pos="1418" w:leader="none"/>
        <w:tab w:val="right" w:pos="9639" w:leader="dot"/>
      </w:tabs>
      <w:suppressAutoHyphens w:val="false"/>
      <w:spacing w:before="0" w:after="0"/>
      <w:ind w:left="1418" w:hanging="0"/>
    </w:pPr>
    <w:rPr>
      <w:rFonts w:eastAsia="" w:eastAsiaTheme="minorEastAsia"/>
      <w:kern w:val="0"/>
      <w:sz w:val="20"/>
      <w:szCs w:val="20"/>
      <w:lang w:val="en-US" w:eastAsia="ja-JP"/>
    </w:rPr>
  </w:style>
  <w:style w:type="paragraph" w:styleId="Art0" w:customStyle="1">
    <w:name w:val="Art-0"/>
    <w:qFormat/>
    <w:rsid w:val="005f26c5"/>
    <w:pPr>
      <w:keepNext w:val="true"/>
      <w:keepLines/>
      <w:widowControl/>
      <w:numPr>
        <w:ilvl w:val="6"/>
        <w:numId w:val="5"/>
      </w:numPr>
      <w:suppressAutoHyphens w:val="true"/>
      <w:bidi w:val="0"/>
      <w:spacing w:before="240" w:after="0"/>
      <w:jc w:val="left"/>
    </w:pPr>
    <w:rPr>
      <w:rFonts w:ascii="Arial" w:hAnsi="Arial" w:eastAsia="Arial Unicode MS" w:cs="Tahoma"/>
      <w:b/>
      <w:bCs/>
      <w:color w:val="579D1C"/>
      <w:kern w:val="2"/>
      <w:sz w:val="36"/>
      <w:szCs w:val="32"/>
      <w:lang w:val="en-GB" w:eastAsia="en-GB" w:bidi="ar-SA"/>
    </w:rPr>
  </w:style>
  <w:style w:type="paragraph" w:styleId="NoSpacing">
    <w:name w:val="No Spacing"/>
    <w:uiPriority w:val="1"/>
    <w:qFormat/>
    <w:rsid w:val="007e7487"/>
    <w:pPr>
      <w:widowControl/>
      <w:suppressAutoHyphens w:val="true"/>
      <w:bidi w:val="0"/>
      <w:spacing w:before="0" w:after="0"/>
      <w:jc w:val="left"/>
    </w:pPr>
    <w:rPr>
      <w:rFonts w:ascii="Calibri" w:hAnsi="Calibri" w:eastAsia="Arial Unicode MS" w:cs="Times New Roman" w:asciiTheme="minorHAnsi" w:hAnsiTheme="minorHAnsi"/>
      <w:color w:val="auto"/>
      <w:kern w:val="2"/>
      <w:sz w:val="24"/>
      <w:szCs w:val="24"/>
      <w:lang w:val="en-GB" w:eastAsia="en-GB" w:bidi="ar-SA"/>
    </w:rPr>
  </w:style>
  <w:style w:type="paragraph" w:styleId="SubHeading1" w:customStyle="1">
    <w:name w:val="SubHeading1"/>
    <w:basedOn w:val="Heading1"/>
    <w:qFormat/>
    <w:rsid w:val="00e56520"/>
    <w:pPr>
      <w:numPr>
        <w:ilvl w:val="0"/>
        <w:numId w:val="0"/>
      </w:numPr>
      <w:spacing w:before="0" w:after="0"/>
      <w:ind w:left="567" w:hanging="0"/>
    </w:pPr>
    <w:rPr>
      <w:i/>
      <w:sz w:val="22"/>
      <w:szCs w:val="2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ssets.publishing.service.gov.uk/government/uploads/system/uploads/attachment_data/file/969514/20201102_-_GDPR_-__MASTER__Keeling_Schedule__with_changes_highlighted__V4.pdf" TargetMode="External"/><Relationship Id="rId3" Type="http://schemas.openxmlformats.org/officeDocument/2006/relationships/hyperlink" Target="https://ico.org.uk/for-organisations/guide-to-the-general-data-protection-regulation-gdpr/individual-rights/right-to-be-informed/"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7B248-E8C1-4724-99D6-A511A562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Application>LibreOffice/7.4.1.2$Windows_X86_64 LibreOffice_project/3c58a8f3a960df8bc8fd77b461821e42c061c5f0</Application>
  <AppVersion>15.0000</AppVersion>
  <Pages>13</Pages>
  <Words>4822</Words>
  <Characters>25205</Characters>
  <CharactersWithSpaces>29729</CharactersWithSpaces>
  <Paragraphs>283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2021-11-19T13:31:00Z</dcterms:created>
  <dc:creator>Brian Seaton</dc:creator>
  <dc:description/>
  <dc:language>en-GB</dc:language>
  <cp:lastModifiedBy/>
  <cp:lastPrinted>2021-11-19T13:32:00Z</cp:lastPrinted>
  <dcterms:modified xsi:type="dcterms:W3CDTF">2023-05-03T10:58:54Z</dcterms:modified>
  <cp:revision>8</cp:revision>
  <dc:subject/>
  <dc:title>Policies</dc:title>
</cp:coreProperties>
</file>

<file path=docProps/custom.xml><?xml version="1.0" encoding="utf-8"?>
<Properties xmlns="http://schemas.openxmlformats.org/officeDocument/2006/custom-properties" xmlns:vt="http://schemas.openxmlformats.org/officeDocument/2006/docPropsVTypes"/>
</file>